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pacing w:val="-20"/>
          <w:sz w:val="52"/>
          <w:szCs w:val="52"/>
        </w:rPr>
      </w:pPr>
    </w:p>
    <w:p>
      <w:pPr>
        <w:jc w:val="center"/>
        <w:rPr>
          <w:rFonts w:ascii="黑体" w:hAnsi="黑体" w:eastAsia="黑体"/>
          <w:spacing w:val="-20"/>
          <w:sz w:val="44"/>
          <w:szCs w:val="44"/>
        </w:rPr>
      </w:pPr>
      <w:bookmarkStart w:id="0" w:name="_GoBack"/>
      <w:r>
        <w:rPr>
          <w:rFonts w:hint="eastAsia" w:ascii="黑体" w:hAnsi="黑体" w:eastAsia="黑体"/>
          <w:spacing w:val="-20"/>
          <w:sz w:val="44"/>
          <w:szCs w:val="44"/>
        </w:rPr>
        <w:t>万荣县审计局单位</w:t>
      </w:r>
    </w:p>
    <w:p>
      <w:pPr>
        <w:jc w:val="center"/>
        <w:rPr>
          <w:rFonts w:ascii="黑体" w:hAnsi="黑体" w:eastAsia="黑体"/>
          <w:spacing w:val="-20"/>
          <w:sz w:val="44"/>
          <w:szCs w:val="44"/>
        </w:rPr>
      </w:pPr>
      <w:r>
        <w:rPr>
          <w:rFonts w:hint="eastAsia" w:ascii="黑体" w:hAnsi="黑体" w:eastAsia="黑体"/>
          <w:spacing w:val="-20"/>
          <w:sz w:val="44"/>
          <w:szCs w:val="44"/>
        </w:rPr>
        <w:t>2020年部门整体支出绩效自评报告</w:t>
      </w:r>
    </w:p>
    <w:bookmarkEnd w:id="0"/>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1120" w:lineRule="exact"/>
        <w:ind w:firstLine="640" w:firstLineChars="200"/>
        <w:rPr>
          <w:rFonts w:ascii="黑体" w:hAnsi="黑体" w:eastAsia="黑体" w:cs="黑体"/>
          <w:sz w:val="32"/>
          <w:szCs w:val="32"/>
        </w:rPr>
      </w:pPr>
      <w:r>
        <w:rPr>
          <w:rFonts w:hint="eastAsia" w:ascii="黑体" w:hAnsi="黑体" w:eastAsia="黑体" w:cs="黑体"/>
          <w:sz w:val="32"/>
          <w:szCs w:val="32"/>
        </w:rPr>
        <w:t>单位名称：万荣县审计局</w:t>
      </w:r>
      <w:r>
        <w:rPr>
          <w:rFonts w:hint="eastAsia" w:ascii="黑体" w:hAnsi="黑体" w:eastAsia="黑体" w:cs="黑体"/>
          <w:sz w:val="32"/>
          <w:szCs w:val="32"/>
        </w:rPr>
        <w:tab/>
      </w:r>
      <w:r>
        <w:rPr>
          <w:rFonts w:hint="eastAsia" w:ascii="黑体" w:hAnsi="黑体" w:eastAsia="黑体" w:cs="黑体"/>
          <w:sz w:val="32"/>
          <w:szCs w:val="32"/>
        </w:rPr>
        <w:tab/>
      </w:r>
      <w:r>
        <w:rPr>
          <w:rFonts w:hint="eastAsia" w:ascii="黑体" w:hAnsi="黑体" w:eastAsia="黑体" w:cs="黑体"/>
          <w:sz w:val="32"/>
          <w:szCs w:val="32"/>
        </w:rPr>
        <w:tab/>
      </w:r>
    </w:p>
    <w:p>
      <w:pPr>
        <w:spacing w:line="1120" w:lineRule="exact"/>
        <w:ind w:firstLine="640" w:firstLineChars="200"/>
        <w:rPr>
          <w:rFonts w:ascii="黑体" w:hAnsi="黑体" w:eastAsia="黑体" w:cs="黑体"/>
          <w:sz w:val="32"/>
          <w:szCs w:val="32"/>
        </w:rPr>
      </w:pPr>
      <w:r>
        <w:rPr>
          <w:rFonts w:hint="eastAsia" w:ascii="黑体" w:hAnsi="黑体" w:eastAsia="黑体" w:cs="黑体"/>
          <w:sz w:val="32"/>
          <w:szCs w:val="32"/>
        </w:rPr>
        <w:t>单位负责人：</w:t>
      </w:r>
    </w:p>
    <w:p>
      <w:pPr>
        <w:spacing w:line="1120" w:lineRule="exact"/>
        <w:ind w:firstLine="640" w:firstLineChars="200"/>
        <w:rPr>
          <w:rFonts w:ascii="黑体" w:hAnsi="黑体" w:eastAsia="黑体" w:cs="黑体"/>
          <w:sz w:val="32"/>
          <w:szCs w:val="32"/>
        </w:rPr>
      </w:pPr>
      <w:r>
        <w:rPr>
          <w:rFonts w:hint="eastAsia" w:ascii="黑体" w:hAnsi="黑体" w:eastAsia="黑体" w:cs="黑体"/>
          <w:sz w:val="32"/>
          <w:szCs w:val="32"/>
        </w:rPr>
        <w:t>评价人员：</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pPr>
      <w:r>
        <w:rPr>
          <w:rFonts w:hint="eastAsia" w:ascii="黑体" w:hAnsi="黑体" w:eastAsia="黑体" w:cs="黑体"/>
          <w:sz w:val="32"/>
          <w:szCs w:val="32"/>
        </w:rPr>
        <w:t>2021年 7月</w:t>
      </w:r>
    </w:p>
    <w:p>
      <w:pPr>
        <w:jc w:val="left"/>
        <w:rPr>
          <w:rFonts w:ascii="黑体" w:hAnsi="黑体" w:eastAsia="黑体"/>
          <w:spacing w:val="-20"/>
          <w:sz w:val="44"/>
          <w:szCs w:val="44"/>
        </w:rPr>
      </w:pPr>
    </w:p>
    <w:p>
      <w:pPr>
        <w:pStyle w:val="11"/>
        <w:spacing w:before="0" w:beforeAutospacing="0" w:after="0" w:afterAutospacing="0" w:line="578" w:lineRule="atLeast"/>
        <w:rPr>
          <w:rFonts w:ascii="黑体" w:hAnsi="黑体" w:eastAsia="黑体" w:cs="Times New Roman"/>
          <w:color w:val="auto"/>
          <w:kern w:val="2"/>
          <w:sz w:val="44"/>
          <w:szCs w:val="44"/>
        </w:rPr>
      </w:pPr>
    </w:p>
    <w:p>
      <w:pPr>
        <w:pStyle w:val="11"/>
        <w:spacing w:before="0" w:beforeAutospacing="0" w:after="0" w:afterAutospacing="0" w:line="578" w:lineRule="atLeast"/>
        <w:ind w:firstLine="642" w:firstLineChars="200"/>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pStyle w:val="11"/>
        <w:spacing w:before="0" w:beforeAutospacing="0" w:after="0" w:afterAutospacing="0" w:line="578" w:lineRule="atLeast"/>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（一）部门职责及组成</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万荣县审计局贯彻落实党中央、省委、市委、县委关于审计工作的方针政策和决策部署，在履行职责过程中坚持和加强党对审计工作的集中统一领导。主要职责是：</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主管全县审计工作。负责对县财政收支和法律法规规定属于审计监督范围的财务收支的真实、合法和效益进行审计监督，对公共资金、国有资产、国有资源和领导干部履行经济责任情况实行审计全覆盖，对领导干部实行自然资源资产离任审计，对国家、省、市、县有关重大政策措施贯彻落实情况进行跟踪审计。对审计、专项审计调查和核查社会审计机构相关审计报告的结果承担责任，并负有督促被审计单位整改的责任。</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制定审计工作指南并监督执行。制定并组织实施全县审计工作发展规划和专业领域审计工作规划。对直接审计、调查和核查的事项依法进行审计评价，做出审计决定或提出审计建议。</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向县委审计委员会提出年度县级预算执行和其他财政支出情况的审计报告。向县长提出年度县级预算执行和其他财政收支情况的审计结果报告。受县人民政府委托向县人大常委会提出县级预算执行和其他财政收支情况的审计工作报告、审计查出问题整改情况报告。向县委、县人民政府报告对其他事项的审计和专项审计调查情况及结果。依法向社会公布审计结果。向县委和县人民政府有关部门、乡镇党委和人民政府通报审计情况和审计结果。</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直接审计下列事项，出具审计报告，在法定职权范围内做出审计决定，包括国家和省、市、县有关重大政策措施贯彻落实情况；县级预算执行情况和其他财政收支，县委和县人民政府机关各部门（含直属单位）预算执行情况、决算草案和其他财政收支；乡镇人民政府预算执行情况、决算草案和其他财政收支，县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企业和金融机构、县人民政府规定的县国有资本占控股或主导地位的企业和金融机构境内外资产、负债和损益，县驻外非经营性机构的财务收支；有关社会保障基金、社会捐赠资金及其他基金、资金的财务收支；国际组织和外国政府援助、贷款项目；上级审计机关授权审计的其他审计事项；法律法规规定的其他事项。</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按规定对县管党政主要领导干部及其他单位主要负责人实施经济责任审计和自然资源资产离任审计。</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组织实施对国家财经法律、法规、规章、政策和宏观调控措施执行情况、财政预算管理及国有资产管理使用等与国家财政收支有关的特定事项进行专项审计调查。</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依法检查审计决定执行情况，督促整改审计查出的问题，依法办理被审计单位对审计决定提请行政复议、行政诉讼或县人民政府裁决中的有关事项，协助配合有关部门查处相关重大案件。</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指导和监督内部审计工作，核查社会审计机构对依法属于审计监督对象的单位出具的相关审计报告。</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组织开展审计领域的交流与合作，指导和推广信息技术在审计领域的应用。  </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完成县委县政府交办的其他任务。</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职能转变。进一步完善审计管理体制，加强全县审计工作统筹，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万荣县审计局由办公室、农业股、财税股、法制股、企业股，经责股、行事股、投资股等八个股室组成。</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（二）人员结构</w:t>
      </w:r>
    </w:p>
    <w:p>
      <w:pPr>
        <w:ind w:firstLine="640" w:firstLineChars="200"/>
        <w:rPr>
          <w:rFonts w:ascii="仿宋" w:hAnsi="仿宋" w:eastAsia="仿宋"/>
          <w:sz w:val="32"/>
          <w:szCs w:val="32"/>
        </w:rPr>
      </w:pPr>
      <w:r>
        <w:rPr>
          <w:rFonts w:hint="eastAsia" w:ascii="仿宋" w:hAnsi="仿宋" w:eastAsia="仿宋"/>
          <w:sz w:val="32"/>
          <w:szCs w:val="32"/>
        </w:rPr>
        <w:t>审计局行政编制人员18人，实有17人，事业编制人员17人，实有17人。</w:t>
      </w:r>
    </w:p>
    <w:p>
      <w:pPr>
        <w:ind w:firstLine="640" w:firstLineChars="200"/>
        <w:rPr>
          <w:rFonts w:ascii="仿宋" w:hAnsi="仿宋" w:eastAsia="仿宋"/>
          <w:sz w:val="32"/>
          <w:szCs w:val="32"/>
        </w:rPr>
      </w:pPr>
      <w:r>
        <w:rPr>
          <w:rFonts w:hint="eastAsia" w:ascii="仿宋" w:hAnsi="仿宋" w:eastAsia="仿宋"/>
          <w:sz w:val="32"/>
          <w:szCs w:val="32"/>
        </w:rPr>
        <w:t>（三）车辆情况</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公务用车改革后，我单位已无公务用车。</w:t>
      </w:r>
    </w:p>
    <w:p>
      <w:pPr>
        <w:numPr>
          <w:ilvl w:val="0"/>
          <w:numId w:val="1"/>
        </w:numPr>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部门整体支出绩效目标</w:t>
      </w:r>
    </w:p>
    <w:p>
      <w:pPr>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1、总体目标</w:t>
      </w:r>
    </w:p>
    <w:p>
      <w:pPr>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依法履行审计监督职责，大力推进审计全覆盖，进一步加大重点领域、重点项目、重点资金的审计力度，严肃查处重大违法违规问题，及时反映重大风险隐患，为促进全县经济社会持续健康发展发挥积极作用。</w:t>
      </w:r>
    </w:p>
    <w:p>
      <w:pPr>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2、具体目标</w:t>
      </w:r>
    </w:p>
    <w:p>
      <w:pPr>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2020年根据上级审计机关的统一部署和县委、县政府的领导，</w:t>
      </w:r>
      <w:r>
        <w:rPr>
          <w:rFonts w:hint="eastAsia" w:ascii="仿宋_GB2312" w:eastAsia="仿宋_GB2312"/>
          <w:sz w:val="32"/>
          <w:szCs w:val="32"/>
        </w:rPr>
        <w:t>认真落实中央经济工作会议及全国、全省、全市审计工作会议精神，紧紧围绕县委县政府工作中心，按照高质量发展要求，依法全面履行审计监督职责，</w:t>
      </w:r>
      <w:r>
        <w:rPr>
          <w:rFonts w:hint="eastAsia" w:ascii="仿宋" w:hAnsi="仿宋" w:eastAsia="仿宋" w:cs="Arial"/>
          <w:sz w:val="32"/>
          <w:szCs w:val="32"/>
          <w:shd w:val="clear" w:color="auto" w:fill="FFFFFF"/>
        </w:rPr>
        <w:t>全年完成6大类38个审计项目。</w:t>
      </w:r>
    </w:p>
    <w:p>
      <w:pPr>
        <w:ind w:firstLine="642" w:firstLineChars="200"/>
        <w:rPr>
          <w:rFonts w:ascii="仿宋" w:hAnsi="仿宋" w:eastAsia="仿宋"/>
          <w:b/>
          <w:sz w:val="32"/>
          <w:szCs w:val="32"/>
        </w:rPr>
      </w:pPr>
      <w:r>
        <w:rPr>
          <w:rFonts w:hint="eastAsia" w:ascii="仿宋" w:hAnsi="仿宋" w:eastAsia="仿宋"/>
          <w:b/>
          <w:sz w:val="32"/>
          <w:szCs w:val="32"/>
        </w:rPr>
        <w:t>二、部门整体支出情况</w:t>
      </w:r>
    </w:p>
    <w:p>
      <w:pPr>
        <w:ind w:firstLine="640" w:firstLineChars="200"/>
        <w:rPr>
          <w:rFonts w:ascii="仿宋" w:hAnsi="仿宋" w:eastAsia="仿宋"/>
          <w:sz w:val="32"/>
          <w:szCs w:val="32"/>
        </w:rPr>
      </w:pPr>
      <w:r>
        <w:rPr>
          <w:rFonts w:hint="eastAsia" w:ascii="仿宋" w:hAnsi="仿宋" w:eastAsia="仿宋"/>
          <w:sz w:val="32"/>
          <w:szCs w:val="32"/>
        </w:rPr>
        <w:t>（一）预算收入情况</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2020年收入4654124元，基本支出3559124元，其中工资部分3177734元，公用经费381390元；项目支出840000元，其中投资审计工程审核费600000元，审计业务经费200000元；其他收入255000元。</w:t>
      </w:r>
    </w:p>
    <w:p>
      <w:pPr>
        <w:ind w:firstLine="640" w:firstLineChars="200"/>
        <w:rPr>
          <w:rFonts w:ascii="仿宋" w:hAnsi="仿宋" w:eastAsia="仿宋"/>
          <w:sz w:val="32"/>
          <w:szCs w:val="32"/>
        </w:rPr>
      </w:pPr>
      <w:r>
        <w:rPr>
          <w:rFonts w:hint="eastAsia" w:ascii="仿宋" w:hAnsi="仿宋" w:eastAsia="仿宋"/>
          <w:sz w:val="32"/>
          <w:szCs w:val="32"/>
        </w:rPr>
        <w:t>（二）预算支出情况</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2020年支出5046333元，基本支出3423497元，其中工资部分3044871元，公用经费378626元；项目支出1610132元，其中投资审计工程审核费1125203元，审计业务经费437279元，扶贫工作经费40000元，一般行政管理事务87237元；审计项目补助12704元。</w:t>
      </w:r>
    </w:p>
    <w:p>
      <w:pPr>
        <w:ind w:firstLine="640" w:firstLineChars="200"/>
        <w:rPr>
          <w:rFonts w:ascii="仿宋" w:hAnsi="仿宋" w:eastAsia="仿宋"/>
          <w:sz w:val="32"/>
          <w:szCs w:val="32"/>
        </w:rPr>
      </w:pPr>
      <w:r>
        <w:rPr>
          <w:rFonts w:hint="eastAsia" w:ascii="仿宋" w:hAnsi="仿宋" w:eastAsia="仿宋"/>
          <w:sz w:val="32"/>
          <w:szCs w:val="32"/>
        </w:rPr>
        <w:t>（三）结余情况</w:t>
      </w:r>
    </w:p>
    <w:p>
      <w:pPr>
        <w:ind w:firstLine="640" w:firstLineChars="200"/>
        <w:rPr>
          <w:rFonts w:ascii="仿宋" w:hAnsi="仿宋" w:eastAsia="仿宋"/>
          <w:sz w:val="32"/>
          <w:szCs w:val="32"/>
        </w:rPr>
      </w:pPr>
      <w:r>
        <w:rPr>
          <w:rFonts w:hint="eastAsia" w:ascii="仿宋" w:hAnsi="仿宋" w:eastAsia="仿宋"/>
          <w:sz w:val="32"/>
          <w:szCs w:val="32"/>
        </w:rPr>
        <w:t>2020年结余1176252元，其中基本支出结转156512元，项目支出结转721044元，其他资金结转298696元。</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（四）专项资金收支情况</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本年度无上级专项资金。</w:t>
      </w:r>
    </w:p>
    <w:p>
      <w:pPr>
        <w:tabs>
          <w:tab w:val="center" w:pos="4473"/>
        </w:tabs>
        <w:ind w:firstLine="642" w:firstLineChars="200"/>
        <w:rPr>
          <w:rFonts w:ascii="仿宋" w:hAnsi="仿宋" w:eastAsia="仿宋"/>
          <w:b/>
          <w:sz w:val="32"/>
          <w:szCs w:val="32"/>
        </w:rPr>
      </w:pPr>
      <w:r>
        <w:rPr>
          <w:rFonts w:hint="eastAsia" w:ascii="仿宋_GB2312" w:hAnsi="Arial" w:eastAsia="仿宋_GB2312" w:cs="Arial"/>
          <w:b/>
          <w:sz w:val="32"/>
          <w:szCs w:val="32"/>
          <w:shd w:val="clear" w:color="auto" w:fill="FFFFFF"/>
        </w:rPr>
        <w:t>三、</w:t>
      </w:r>
      <w:r>
        <w:rPr>
          <w:rFonts w:hint="eastAsia" w:ascii="仿宋" w:hAnsi="仿宋" w:eastAsia="仿宋" w:cs="Arial"/>
          <w:b/>
          <w:sz w:val="32"/>
          <w:szCs w:val="32"/>
          <w:shd w:val="clear" w:color="auto" w:fill="FFFFFF"/>
        </w:rPr>
        <w:t>部门整体支出绩效情况（对各指标计算并用文字进</w:t>
      </w:r>
    </w:p>
    <w:p>
      <w:pPr>
        <w:pStyle w:val="11"/>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 w:hAnsi="仿宋" w:eastAsia="仿宋" w:cs="Arial"/>
          <w:b/>
          <w:sz w:val="32"/>
          <w:szCs w:val="32"/>
          <w:shd w:val="clear" w:color="auto" w:fill="FFFFFF"/>
        </w:rPr>
        <w:t>行绩效分析。</w:t>
      </w:r>
      <w:r>
        <w:rPr>
          <w:rFonts w:hint="eastAsia" w:ascii="仿宋" w:hAnsi="仿宋" w:eastAsia="仿宋"/>
          <w:b/>
          <w:sz w:val="32"/>
          <w:szCs w:val="32"/>
        </w:rPr>
        <w:t>其中，指标可量化的用数值描述，不可量化的以定性描述。）</w:t>
      </w:r>
    </w:p>
    <w:p>
      <w:pPr>
        <w:pStyle w:val="11"/>
        <w:numPr>
          <w:ilvl w:val="0"/>
          <w:numId w:val="2"/>
        </w:numPr>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预算配置</w:t>
      </w:r>
    </w:p>
    <w:p>
      <w:pPr>
        <w:pStyle w:val="11"/>
        <w:spacing w:before="0" w:beforeAutospacing="0" w:after="0" w:afterAutospacing="0" w:line="48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、在职人员控制率：</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 xml:space="preserve">本年度编制数35人，实有34人，在职人员控制率=（在职人员数/编制数）×100%=（34/35）×100%=97%。 </w:t>
      </w:r>
    </w:p>
    <w:p>
      <w:pPr>
        <w:pStyle w:val="11"/>
        <w:spacing w:before="0" w:beforeAutospacing="0" w:after="0" w:afterAutospacing="0"/>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、“三公经费”变动率：</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2020年三公经费预算数为6000，2019年三公经费预算数为7000元，“三公经费”变动率=[（本年度“三公经费”总额6000元-上年度“三公经费”总额7000元）/上年度“三公经费”总额7000元]*100%=-14%，本年度与上年度的三公经费减少14%。</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w:t>
      </w:r>
      <w:r>
        <w:rPr>
          <w:rFonts w:hint="eastAsia" w:ascii="仿宋" w:hAnsi="仿宋" w:eastAsia="仿宋" w:cs="Arial"/>
          <w:sz w:val="32"/>
          <w:szCs w:val="32"/>
          <w:shd w:val="clear" w:color="auto" w:fill="FFFFFF"/>
        </w:rPr>
        <w:t>预算执行</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、预算完成率：</w:t>
      </w:r>
    </w:p>
    <w:p>
      <w:pPr>
        <w:pStyle w:val="11"/>
        <w:spacing w:before="0" w:beforeAutospacing="0" w:after="0" w:afterAutospacing="0" w:line="360" w:lineRule="auto"/>
        <w:ind w:firstLine="640" w:firstLineChars="200"/>
        <w:rPr>
          <w:rFonts w:ascii="仿宋_GB2312" w:hAnsi="Arial" w:eastAsia="仿宋" w:cs="Arial"/>
          <w:sz w:val="32"/>
          <w:szCs w:val="32"/>
          <w:shd w:val="clear" w:color="auto" w:fill="FFFFFF"/>
        </w:rPr>
      </w:pPr>
      <w:r>
        <w:rPr>
          <w:rFonts w:hint="eastAsia" w:ascii="仿宋_GB2312" w:hAnsi="Arial" w:eastAsia="仿宋_GB2312" w:cs="Arial"/>
          <w:sz w:val="32"/>
          <w:szCs w:val="32"/>
          <w:shd w:val="clear" w:color="auto" w:fill="FFFFFF"/>
        </w:rPr>
        <w:t>预算完成率</w:t>
      </w:r>
      <w:r>
        <w:rPr>
          <w:rFonts w:ascii="仿宋_GB2312" w:hAnsi="Arial" w:eastAsia="仿宋_GB2312" w:cs="Arial"/>
          <w:sz w:val="32"/>
          <w:szCs w:val="32"/>
          <w:shd w:val="clear" w:color="auto" w:fill="FFFFFF"/>
        </w:rPr>
        <w:t>=</w:t>
      </w:r>
      <w:r>
        <w:rPr>
          <w:rFonts w:ascii="仿宋" w:hAnsi="仿宋" w:eastAsia="仿宋" w:cs="Arial"/>
          <w:color w:val="auto"/>
          <w:sz w:val="32"/>
          <w:szCs w:val="32"/>
          <w:shd w:val="clear" w:color="auto" w:fill="FFFFFF"/>
        </w:rPr>
        <w:t xml:space="preserve"> [</w:t>
      </w:r>
      <w:r>
        <w:rPr>
          <w:rFonts w:hint="eastAsia" w:ascii="仿宋" w:hAnsi="仿宋" w:eastAsia="仿宋" w:cs="Arial"/>
          <w:color w:val="auto"/>
          <w:sz w:val="32"/>
          <w:szCs w:val="32"/>
          <w:shd w:val="clear" w:color="auto" w:fill="FFFFFF"/>
        </w:rPr>
        <w:t>（上年结转1568461</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年初预算4654124</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年末余额1176252）</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（上年结转1568461</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年初预算4654124</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本年追加预算0）</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rPr>
        <w:t>=81%</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、预算控制率：</w:t>
      </w:r>
    </w:p>
    <w:p>
      <w:pPr>
        <w:pStyle w:val="11"/>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_GB2312" w:hAnsi="Arial" w:eastAsia="仿宋_GB2312" w:cs="Arial"/>
          <w:sz w:val="32"/>
          <w:szCs w:val="32"/>
          <w:shd w:val="clear" w:color="auto" w:fill="FFFFFF"/>
        </w:rPr>
        <w:t>预算控制率</w:t>
      </w:r>
      <w:r>
        <w:rPr>
          <w:rFonts w:ascii="仿宋_GB2312" w:hAnsi="Arial" w:eastAsia="仿宋_GB2312" w:cs="Arial"/>
          <w:sz w:val="32"/>
          <w:szCs w:val="32"/>
          <w:shd w:val="clear" w:color="auto" w:fill="FFFFFF"/>
        </w:rPr>
        <w:t>=</w:t>
      </w:r>
      <w:r>
        <w:rPr>
          <w:rFonts w:hint="eastAsia" w:ascii="仿宋" w:hAnsi="仿宋" w:eastAsia="仿宋" w:cs="Arial"/>
          <w:color w:val="auto"/>
          <w:sz w:val="32"/>
          <w:szCs w:val="32"/>
          <w:shd w:val="clear" w:color="auto" w:fill="FFFFFF"/>
        </w:rPr>
        <w:t>（本年追加预算0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年初预算4654124）</w:t>
      </w:r>
      <w:r>
        <w:rPr>
          <w:rFonts w:ascii="仿宋" w:hAnsi="仿宋" w:eastAsia="仿宋" w:cs="Arial"/>
          <w:color w:val="auto"/>
          <w:sz w:val="32"/>
          <w:szCs w:val="32"/>
          <w:shd w:val="clear" w:color="auto" w:fill="FFFFFF"/>
        </w:rPr>
        <w:t xml:space="preserve">*100% </w:t>
      </w:r>
      <w:r>
        <w:rPr>
          <w:rFonts w:hint="eastAsia" w:ascii="仿宋" w:hAnsi="仿宋" w:eastAsia="仿宋" w:cs="Arial"/>
          <w:color w:val="auto"/>
          <w:sz w:val="32"/>
          <w:szCs w:val="32"/>
          <w:shd w:val="clear" w:color="auto" w:fill="FFFFFF"/>
        </w:rPr>
        <w:t>=0%</w:t>
      </w:r>
      <w:r>
        <w:rPr>
          <w:rFonts w:ascii="仿宋" w:hAnsi="仿宋" w:eastAsia="仿宋" w:cs="Arial"/>
          <w:color w:val="auto"/>
          <w:sz w:val="32"/>
          <w:szCs w:val="32"/>
          <w:shd w:val="clear" w:color="auto" w:fill="FFFFFF"/>
        </w:rPr>
        <w:t xml:space="preserve">  </w:t>
      </w:r>
    </w:p>
    <w:p>
      <w:pPr>
        <w:pStyle w:val="11"/>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、“三公经费”控制率：</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“三公经费”控制率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（“三公经费”实际支出数0</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“三公经费”预算安排数6000）×</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rPr>
        <w:t>=0</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本年度没有发生“三公经费”支出。</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4</w:t>
      </w:r>
      <w:r>
        <w:rPr>
          <w:rFonts w:hint="eastAsia" w:ascii="仿宋_GB2312" w:hAnsi="Arial" w:eastAsia="仿宋_GB2312" w:cs="Arial"/>
          <w:sz w:val="32"/>
          <w:szCs w:val="32"/>
          <w:shd w:val="clear" w:color="auto" w:fill="FFFFFF"/>
        </w:rPr>
        <w:t>、公用经费控制率：</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公用经费控制率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（实际支出公用经费总额378626</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预算安排公用经费总额381390）×</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rPr>
        <w:t>=99%</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5</w:t>
      </w:r>
      <w:r>
        <w:rPr>
          <w:rFonts w:hint="eastAsia" w:ascii="仿宋_GB2312" w:hAnsi="Arial" w:eastAsia="仿宋_GB2312" w:cs="Arial"/>
          <w:sz w:val="32"/>
          <w:szCs w:val="32"/>
          <w:shd w:val="clear" w:color="auto" w:fill="FFFFFF"/>
        </w:rPr>
        <w:t>、政府采购执行率：</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政府采购执行率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（实际政府采购金额411300</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政府采购预算数420000）×</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rPr>
        <w:t>=97%</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（三）预算管理</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、资金使用合规性：</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本年度我单位支出的所有资金均符合财政相关规定，按照财政部门要求以及单位内部制定的制度进行审批支付，支出过程中，严把报账手续，严格控制现金使用，各项资金严格按照预算批复的用途使用，保障单位整体支出规范化、制度化，资金使用无截留、挤占、挪用、虚列支出等情况。</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、预决算信息公开性：</w:t>
      </w:r>
    </w:p>
    <w:p>
      <w:pPr>
        <w:tabs>
          <w:tab w:val="left" w:pos="1260"/>
        </w:tabs>
        <w:ind w:firstLine="640" w:firstLineChars="200"/>
        <w:rPr>
          <w:rFonts w:ascii="仿宋" w:hAnsi="仿宋" w:eastAsia="仿宋"/>
          <w:sz w:val="32"/>
          <w:szCs w:val="32"/>
        </w:rPr>
      </w:pPr>
      <w:r>
        <w:rPr>
          <w:rFonts w:hint="eastAsia" w:ascii="仿宋_GB2312" w:hAnsi="Arial" w:eastAsia="仿宋_GB2312" w:cs="Arial"/>
          <w:sz w:val="32"/>
          <w:szCs w:val="32"/>
          <w:shd w:val="clear" w:color="auto" w:fill="FFFFFF"/>
        </w:rPr>
        <w:t>我单位</w:t>
      </w:r>
      <w:r>
        <w:rPr>
          <w:rFonts w:hint="eastAsia" w:ascii="仿宋" w:hAnsi="仿宋" w:eastAsia="仿宋"/>
          <w:sz w:val="32"/>
          <w:szCs w:val="32"/>
        </w:rPr>
        <w:t>按照政府信息公开的有关规定，在万荣县人民政府网站于2020年4月26日对2020年部门预算和9月15日对2019年部门决算信息按规定的要求和时限进行公开。</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、管理制度健全性：</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按照内部控制制度的相关规定，为加强预算管理、规范财务行为制定了预算资金管理办法、内部财务管理制度、会计核算制度等管理制度，相关管理制度是合法、合规、完整并得到有效执行。</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（四）资产管理</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1、资产管理完整性</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按照单位资产管理制度的规定，对资产进行统一核算、管理，并将资产的保管责任明确到具体使用部门，建立资产明细账，确保账实相符，对处置的资产收入及时足额上缴。</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2、固定资产利用率</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固定资产利用率=（实际在用固定资产总额3674599元/所有固定资产总额3674599元）×100%=100%，我单位按照厉行节约、物尽其用的有原则，对资产进行定期清查，对报废的资产进行处置，提高资产的使用效率，保障资产的完整。</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（五）职责履行</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重点工作实际完成率：</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重点工作实际完成率=38/38×100%=100%</w:t>
      </w:r>
    </w:p>
    <w:p>
      <w:pPr>
        <w:spacing w:line="579"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单位严格按照县委县政府各相关部门的要求，按时完成交办的各项工作任务。</w:t>
      </w:r>
      <w:r>
        <w:rPr>
          <w:rFonts w:hint="eastAsia" w:ascii="仿宋_GB2312" w:hAnsi="仿宋_GB2312" w:eastAsia="仿宋_GB2312" w:cs="仿宋_GB2312"/>
          <w:sz w:val="32"/>
          <w:szCs w:val="32"/>
        </w:rPr>
        <w:t>我们牢固树立上级审计机关对下级审计机关的领导意识，以审计的视角，着重关注全局性、效率性、效益性及潜在性的问题和风险，实施完成</w:t>
      </w:r>
      <w:r>
        <w:rPr>
          <w:rFonts w:hint="eastAsia" w:ascii="仿宋_GB2312" w:eastAsia="仿宋_GB2312"/>
          <w:sz w:val="32"/>
          <w:szCs w:val="32"/>
        </w:rPr>
        <w:t>38个审计项目，查出问题金额75925万元，上缴国库6649万元，规范账务处理1625万元，向纪检监察机关移交案件5件，处理7人。以管理的视角去解决问题，提出审计建议42条，提交审计信息简报30篇，督促审计对象建立完善相关制度15项，审计工作在严肃财经法纪、推进依法行政、维护群众利益、促进廉政建设等方面发挥了积极作用。</w:t>
      </w:r>
    </w:p>
    <w:p>
      <w:pPr>
        <w:spacing w:line="579"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1、精准破题，推进预算执行审计全覆盖。</w:t>
      </w:r>
      <w:r>
        <w:rPr>
          <w:rFonts w:hint="eastAsia" w:ascii="仿宋_GB2312" w:hAnsi="仿宋_GB2312" w:eastAsia="仿宋_GB2312" w:cs="仿宋_GB2312"/>
          <w:sz w:val="32"/>
          <w:szCs w:val="32"/>
        </w:rPr>
        <w:t>紧盯预算编制完整性和规范性，重点支出预算及政策执行、财政存量资金统筹盘活等情况，运用大数据审计技术进行筛查，精准定位了应缴未缴国库、预算管理不规范、公务卡使用率不高等问题，督促上缴国库资金6605万元，盘活存量资金6231万元，新增公务卡233张，结算金额同比增长140%。</w:t>
      </w:r>
      <w:r>
        <w:rPr>
          <w:rFonts w:hint="eastAsia" w:ascii="仿宋_GB2312" w:eastAsia="仿宋_GB2312"/>
          <w:sz w:val="32"/>
          <w:szCs w:val="32"/>
        </w:rPr>
        <w:t>按照“总体分析、分散核查”的原则，采用“军团作战”模式，统筹了6个股室20名审计人员，对全县69个一级预算单位的县政府重点工程、脱贫攻坚等5类资金和扶贫工作经费、固定资产管理等4类事项进行了审计，审计总金额46969万元，实现部门预算审计全覆盖。对省市审计部门反馈的3954条22699万元疑点进行了核查，发展个别项目绩效不高、政府采购制度执行不严等8类24个问题，促进部门完善制度73项，促进预算资金支付95%以上，审计结果以“报告+问题清单”形式向县人大常委会报告，报告形式和内容受到县人大领导和人大代表点赞。</w:t>
      </w:r>
    </w:p>
    <w:p>
      <w:pPr>
        <w:spacing w:line="579"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2、围绕中心，推进专项资金审计全过程。</w:t>
      </w:r>
      <w:r>
        <w:rPr>
          <w:rFonts w:hint="eastAsia" w:ascii="仿宋_GB2312" w:eastAsia="仿宋_GB2312"/>
          <w:sz w:val="32"/>
          <w:szCs w:val="32"/>
        </w:rPr>
        <w:t>根据上级审计部门统一安排，扎实开展了疫情防控、职业教育、人居环境整治三个专项审计，充分发挥“防火墙”保障作用。</w:t>
      </w:r>
      <w:r>
        <w:rPr>
          <w:rFonts w:hint="eastAsia" w:ascii="仿宋_GB2312" w:eastAsia="仿宋_GB2312"/>
          <w:b/>
          <w:bCs/>
          <w:sz w:val="32"/>
          <w:szCs w:val="32"/>
        </w:rPr>
        <w:t>在应对新冠肺炎疫情防控资金和捐赠款物专项审计中，</w:t>
      </w:r>
      <w:r>
        <w:rPr>
          <w:rFonts w:hint="eastAsia" w:ascii="仿宋_GB2312" w:eastAsia="仿宋_GB2312"/>
          <w:sz w:val="32"/>
          <w:szCs w:val="32"/>
        </w:rPr>
        <w:t>找准切入点，及时跟踪疫情防控资金和捐赠款物的接受分配发放使用情况，审计发现财政支出进度慢、防疫补助发放不及时、捐赠物资配备不及时等问题12个，审计加快资金分配和使用839.58万元，同时支持党员干部疫情防控担当作为，为打赢疫情防控</w:t>
      </w:r>
      <w:r>
        <w:rPr>
          <w:rFonts w:hint="eastAsia" w:ascii="仿宋_GB2312" w:eastAsia="仿宋_GB2312"/>
          <w:sz w:val="32"/>
          <w:szCs w:val="32"/>
          <w:lang w:val="en-US" w:eastAsia="zh-CN"/>
        </w:rPr>
        <w:t>阻</w:t>
      </w:r>
      <w:r>
        <w:rPr>
          <w:rFonts w:hint="eastAsia" w:ascii="仿宋_GB2312" w:eastAsia="仿宋_GB2312"/>
          <w:sz w:val="32"/>
          <w:szCs w:val="32"/>
        </w:rPr>
        <w:t>击战提供强有力的审计保障。</w:t>
      </w:r>
      <w:r>
        <w:rPr>
          <w:rFonts w:hint="eastAsia" w:ascii="仿宋_GB2312" w:eastAsia="仿宋_GB2312"/>
          <w:b/>
          <w:bCs/>
          <w:sz w:val="32"/>
          <w:szCs w:val="32"/>
        </w:rPr>
        <w:t>在职业教育专项资金审计中，</w:t>
      </w:r>
      <w:r>
        <w:rPr>
          <w:rFonts w:hint="eastAsia" w:ascii="仿宋_GB2312" w:eastAsia="仿宋_GB2312"/>
          <w:bCs/>
          <w:sz w:val="32"/>
          <w:szCs w:val="32"/>
        </w:rPr>
        <w:t>认真进行审计调查，编制切实可行的审计实施方案</w:t>
      </w:r>
      <w:r>
        <w:rPr>
          <w:rFonts w:hint="eastAsia" w:ascii="仿宋_GB2312" w:eastAsia="仿宋_GB2312"/>
          <w:sz w:val="32"/>
          <w:szCs w:val="32"/>
        </w:rPr>
        <w:t>，揭示新增教育经费未向职业教育倾斜、实训基地设备采购与任务书预算不符、项目进展缓慢等5个问题，客观评价职业教育改革取得的成效，督促技校做好项目前期调研，科学编制项目任务书预算，加快完成项目建设2项，建立了预算绩效评价制度，</w:t>
      </w:r>
      <w:r>
        <w:rPr>
          <w:rFonts w:hint="eastAsia" w:ascii="仿宋_GB2312" w:hAnsi="仿宋_GB2312" w:eastAsia="仿宋_GB2312" w:cs="仿宋_GB2312"/>
          <w:sz w:val="32"/>
          <w:szCs w:val="32"/>
        </w:rPr>
        <w:t>为促进规范职业教育资金管理、推动实现更高质量和更充分就业、推动职业教育改革顺利实施发挥作用。</w:t>
      </w:r>
      <w:r>
        <w:rPr>
          <w:rFonts w:hint="eastAsia" w:ascii="仿宋_GB2312" w:eastAsia="仿宋_GB2312"/>
          <w:b/>
          <w:bCs/>
          <w:sz w:val="32"/>
          <w:szCs w:val="32"/>
        </w:rPr>
        <w:t>在农村人居环境整治专项审计中，</w:t>
      </w:r>
      <w:r>
        <w:rPr>
          <w:rFonts w:hint="eastAsia" w:ascii="仿宋_GB2312" w:eastAsia="仿宋_GB2312"/>
          <w:sz w:val="32"/>
          <w:szCs w:val="32"/>
        </w:rPr>
        <w:t>实地走访5个乡镇13个村128户群众，揭示卫生厕所改造慢、专项资金滞留、村庄规划不完善等问题7项，督促项目村完成改厕项目、推进垃圾中转站运行、加快资金拨付，推动全县207个村健全农村规划管控、乡村绿化管户、环境卫生清扫等长效机制，助推万荣县竞争性用财机制成功入选全国第二批23个农村公共服务典型案例，在全县美丽乡村建设表彰大会上，我局被评为美丽乡村建设特别贡献奖。</w:t>
      </w:r>
    </w:p>
    <w:p>
      <w:pPr>
        <w:spacing w:line="579"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3、服务大局，推进政府投资审计全方位。</w:t>
      </w:r>
      <w:r>
        <w:rPr>
          <w:rFonts w:hint="eastAsia" w:ascii="仿宋_GB2312" w:eastAsia="仿宋_GB2312"/>
          <w:sz w:val="32"/>
          <w:szCs w:val="32"/>
        </w:rPr>
        <w:t>按照审计署投资审计实现“三个转变”要求，围绕县委、县政府的中心工作，立足本职，发挥审计职能，开展了2个项目的竣工决算审计和2个项目的跟踪审计。审计查出超范围使用资金、工程结算虚高等13个问题，尤其是在沿黄旅游公路建设项目、高标准农田建设项目的跟踪审计中，发现5份施工合同签订不合规、23份变更签证先施工后补办手续、16份工程中间支付证书计量粗糙、5个标段施工工序不科学等问题，建设单位立行立改，规范项目管理，推进项目进度，为2020年中国农民丰收节万荣主场活动提供坚强保障。一年来，举办投资项目内部审计集中培训6次、帮助有关单位起草投资项目内部审计制度23份、现场指导和检查监督投资项目内部审计67个，政府投资项目审计覆盖率达95%，完善规范了相关资料176份，整改问题134条，核减投资819万元，促进建设单位加强投资管理、提高投资效益。</w:t>
      </w:r>
    </w:p>
    <w:p>
      <w:pPr>
        <w:spacing w:line="579"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4、规范权力，推进经济责任审计全领域。</w:t>
      </w:r>
      <w:r>
        <w:rPr>
          <w:rFonts w:hint="eastAsia" w:ascii="仿宋_GB2312" w:eastAsia="仿宋_GB2312"/>
          <w:sz w:val="32"/>
          <w:szCs w:val="32"/>
        </w:rPr>
        <w:t>从“就审计论审计”的传统思维方式和思维习惯转变到关注领导干部权力运行和责任落实。坚持职责、权力和责任一体化的原则，坚持乡镇党政干部同责同审原则，把经济责任审计内容与领导干部经济决策、经济管理、经济政策执行情况结合起来，与自然资产资源审计结合起来，完成万泉乡、发改局等17个部门22名领导干部经责审计，审计发现，个别领导干部履行部门职责不到位、目标任务承诺未完成等5个方面51个具体问题，为进一步规范领导干部权力运行、提高履职履责能力发挥审计的免疫作用。</w:t>
      </w:r>
    </w:p>
    <w:p>
      <w:pPr>
        <w:spacing w:line="579"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5、保障民生，推进财务收支审计全体系。</w:t>
      </w:r>
      <w:r>
        <w:rPr>
          <w:rFonts w:hint="eastAsia" w:ascii="仿宋_GB2312" w:eastAsia="仿宋_GB2312"/>
          <w:sz w:val="32"/>
          <w:szCs w:val="32"/>
        </w:rPr>
        <w:t>加大审计发现问题整改力度，搭建信息沟通共享的平台，最大发挥审计成果的建设性作用。</w:t>
      </w:r>
      <w:r>
        <w:rPr>
          <w:rFonts w:hint="eastAsia" w:ascii="仿宋_GB2312" w:eastAsia="仿宋_GB2312"/>
          <w:b/>
          <w:bCs/>
          <w:sz w:val="32"/>
          <w:szCs w:val="32"/>
        </w:rPr>
        <w:t>在供热中心审计中，</w:t>
      </w:r>
      <w:r>
        <w:rPr>
          <w:rFonts w:hint="eastAsia" w:ascii="仿宋_GB2312" w:eastAsia="仿宋_GB2312"/>
          <w:sz w:val="32"/>
          <w:szCs w:val="32"/>
        </w:rPr>
        <w:t>针对用热面积底数不清问题，通过委托第三方测量公司逐户核实，核增供热面积近6万平米，促进增收143万元，受到领导和群众一致好评。</w:t>
      </w:r>
      <w:r>
        <w:rPr>
          <w:rFonts w:hint="eastAsia" w:ascii="仿宋_GB2312" w:eastAsia="仿宋_GB2312"/>
          <w:b/>
          <w:bCs/>
          <w:sz w:val="32"/>
          <w:szCs w:val="32"/>
        </w:rPr>
        <w:t>在县直学校审计中，</w:t>
      </w:r>
      <w:r>
        <w:rPr>
          <w:rFonts w:hint="eastAsia" w:ascii="仿宋_GB2312" w:eastAsia="仿宋_GB2312"/>
          <w:sz w:val="32"/>
          <w:szCs w:val="32"/>
        </w:rPr>
        <w:t>发现节庆活动大额开支没有标准、低值易耗品出入库管理混乱等问题，县教科局举一反三，督促各级学校建立完善预算管理制度、资产管理责任制度，规范约束各类开支。</w:t>
      </w:r>
      <w:r>
        <w:rPr>
          <w:rFonts w:hint="eastAsia" w:ascii="仿宋_GB2312" w:eastAsia="仿宋_GB2312"/>
          <w:b/>
          <w:bCs/>
          <w:sz w:val="32"/>
          <w:szCs w:val="32"/>
        </w:rPr>
        <w:t>在乡镇卫生院审计中，</w:t>
      </w:r>
      <w:r>
        <w:rPr>
          <w:rFonts w:hint="eastAsia" w:ascii="仿宋_GB2312" w:eastAsia="仿宋_GB2312"/>
          <w:sz w:val="32"/>
          <w:szCs w:val="32"/>
        </w:rPr>
        <w:t>发现超标准和超范围收费等问题，卫健部门对全县卫生院收费情况进行梳理核查整改，保障患者利益，做到“惠民生、促发展”。</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（六）履职效益</w:t>
      </w:r>
    </w:p>
    <w:p>
      <w:pPr>
        <w:spacing w:line="579"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经济效益：</w:t>
      </w:r>
      <w:r>
        <w:rPr>
          <w:rFonts w:hint="eastAsia" w:eastAsia="仿宋_GB2312"/>
          <w:sz w:val="30"/>
          <w:szCs w:val="30"/>
        </w:rPr>
        <w:t>随着经济发展和国家财政收入的增长，审计作为经济监督职能的部门，发挥了强化监督、规范市场、促进国家财政收入增长的作用，同时取得了明显的经济效益。</w:t>
      </w:r>
      <w:r>
        <w:rPr>
          <w:rFonts w:hint="eastAsia" w:ascii="仿宋_GB2312" w:eastAsia="仿宋_GB2312"/>
          <w:sz w:val="32"/>
          <w:szCs w:val="32"/>
        </w:rPr>
        <w:t>2020年</w:t>
      </w:r>
      <w:r>
        <w:rPr>
          <w:rFonts w:hint="eastAsia" w:ascii="仿宋_GB2312" w:hAnsi="仿宋_GB2312" w:eastAsia="仿宋_GB2312" w:cs="仿宋_GB2312"/>
          <w:sz w:val="32"/>
          <w:szCs w:val="32"/>
        </w:rPr>
        <w:t>实施完成</w:t>
      </w:r>
      <w:r>
        <w:rPr>
          <w:rFonts w:hint="eastAsia" w:ascii="仿宋_GB2312" w:eastAsia="仿宋_GB2312"/>
          <w:sz w:val="32"/>
          <w:szCs w:val="32"/>
        </w:rPr>
        <w:t>38个审计项目，查出问题金额75925万元，上缴国库6649万元，规范账务处理1625万元，向纪检监察机关移交案件5件，处理7人。以管理的视角去解决问题，提出审计建议42条，提交审计信息简报30篇，督促审计对象建立完善相关制度15项，审计工作在严肃财经法纪、推进依法行政、维护群众利益、促进廉政建设等方面发挥了积极作用。</w:t>
      </w:r>
    </w:p>
    <w:p>
      <w:pPr>
        <w:widowControl/>
        <w:spacing w:line="480" w:lineRule="auto"/>
        <w:ind w:firstLine="480"/>
        <w:rPr>
          <w:rFonts w:eastAsia="仿宋_GB2312"/>
          <w:sz w:val="30"/>
          <w:szCs w:val="30"/>
        </w:rPr>
      </w:pPr>
      <w:r>
        <w:rPr>
          <w:rFonts w:hint="eastAsia" w:ascii="仿宋_GB2312" w:eastAsia="仿宋_GB2312" w:cs="宋体"/>
          <w:color w:val="000000"/>
          <w:kern w:val="0"/>
          <w:sz w:val="32"/>
          <w:szCs w:val="32"/>
          <w:shd w:val="clear" w:color="auto" w:fill="FFFFFF"/>
        </w:rPr>
        <w:t>社会效益：</w:t>
      </w:r>
      <w:r>
        <w:rPr>
          <w:rFonts w:hint="eastAsia" w:eastAsia="仿宋_GB2312"/>
          <w:sz w:val="30"/>
          <w:szCs w:val="30"/>
        </w:rPr>
        <w:t>在社会效益方面，对重大经济问题的揭露和查处，一方面起到了明显的威慑力，有效地发挥了对重大经济犯罪的遏制和警示，另一方面促使被审计单位进一步强化内部控制、堵塞管理漏洞、增强</w:t>
      </w:r>
      <w:r>
        <w:rPr>
          <w:rFonts w:hint="eastAsia" w:eastAsia="仿宋_GB2312"/>
          <w:sz w:val="30"/>
          <w:szCs w:val="30"/>
          <w:lang w:eastAsia="zh-CN"/>
        </w:rPr>
        <w:t>廉政</w:t>
      </w:r>
      <w:r>
        <w:rPr>
          <w:rFonts w:hint="eastAsia" w:eastAsia="仿宋_GB2312"/>
          <w:sz w:val="30"/>
          <w:szCs w:val="30"/>
        </w:rPr>
        <w:t>建设的自觉性，为维护财经秩序、促进</w:t>
      </w:r>
      <w:r>
        <w:rPr>
          <w:rFonts w:hint="eastAsia" w:eastAsia="仿宋_GB2312"/>
          <w:sz w:val="30"/>
          <w:szCs w:val="30"/>
          <w:lang w:eastAsia="zh-CN"/>
        </w:rPr>
        <w:t>廉政</w:t>
      </w:r>
      <w:r>
        <w:rPr>
          <w:rFonts w:hint="eastAsia" w:eastAsia="仿宋_GB2312"/>
          <w:sz w:val="30"/>
          <w:szCs w:val="30"/>
        </w:rPr>
        <w:t>建设发挥了重要作用。</w:t>
      </w:r>
    </w:p>
    <w:p>
      <w:pPr>
        <w:pStyle w:val="11"/>
        <w:spacing w:before="0" w:beforeAutospacing="0" w:after="0" w:afterAutospacing="0"/>
        <w:ind w:firstLine="640" w:firstLineChars="200"/>
        <w:rPr>
          <w:rFonts w:ascii="仿宋_GB2312" w:eastAsia="仿宋_GB2312"/>
          <w:sz w:val="32"/>
          <w:szCs w:val="32"/>
          <w:shd w:val="clear" w:color="auto" w:fill="FFFFFF"/>
        </w:rPr>
      </w:pPr>
      <w:r>
        <w:rPr>
          <w:rFonts w:hint="eastAsia" w:ascii="仿宋_GB2312" w:eastAsia="仿宋_GB2312"/>
          <w:sz w:val="32"/>
          <w:szCs w:val="32"/>
        </w:rPr>
        <w:t>行政效能：我</w:t>
      </w:r>
      <w:r>
        <w:rPr>
          <w:rFonts w:hint="eastAsia" w:ascii="仿宋_GB2312" w:eastAsia="仿宋_GB2312"/>
          <w:sz w:val="32"/>
          <w:szCs w:val="32"/>
          <w:shd w:val="clear" w:color="auto" w:fill="FFFFFF"/>
        </w:rPr>
        <w:t>单位</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20年度不断改善行政管理，加强制度体系建设</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根据社会发展及服务对象对本单位的工作要求改进了文风会风，精简会议、文件，严格资产管理和经费使用，积极推动政务公开，行政效率提高，行政成本进一步降低。</w:t>
      </w:r>
    </w:p>
    <w:p>
      <w:pPr>
        <w:pStyle w:val="11"/>
        <w:spacing w:before="0" w:beforeAutospacing="0" w:after="0" w:afterAutospacing="0"/>
        <w:ind w:firstLine="640" w:firstLineChars="200"/>
        <w:rPr>
          <w:rFonts w:ascii="仿宋_GB2312" w:hAnsi="Arial" w:eastAsia="仿宋_GB2312" w:cs="Arial"/>
          <w:sz w:val="32"/>
          <w:szCs w:val="32"/>
          <w:shd w:val="clear" w:color="auto" w:fill="FFFFFF"/>
        </w:rPr>
      </w:pPr>
      <w:r>
        <w:rPr>
          <w:rFonts w:hint="eastAsia" w:ascii="仿宋_GB2312" w:eastAsia="仿宋_GB2312"/>
          <w:sz w:val="32"/>
          <w:szCs w:val="32"/>
          <w:shd w:val="clear" w:color="auto" w:fill="FFFFFF"/>
        </w:rPr>
        <w:t>社会公众或服务对象满意度：我单位向被审项目单位发调查问卷，从收回的情况看，服务对象对本部门的工作现状、服务承诺以及服务态度、服务质量等各方面给予了不同的评价，满意度为85</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w:t>
      </w:r>
    </w:p>
    <w:p>
      <w:pPr>
        <w:pStyle w:val="11"/>
        <w:numPr>
          <w:ilvl w:val="0"/>
          <w:numId w:val="3"/>
        </w:numPr>
        <w:spacing w:before="0" w:beforeAutospacing="0" w:after="0" w:afterAutospacing="0" w:line="578" w:lineRule="atLeast"/>
        <w:ind w:firstLine="642"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评价结论与主要绩效</w:t>
      </w:r>
    </w:p>
    <w:p>
      <w:pPr>
        <w:pStyle w:val="11"/>
        <w:spacing w:before="0" w:beforeAutospacing="0" w:after="0" w:afterAutospacing="0" w:line="578" w:lineRule="atLeast"/>
        <w:ind w:firstLine="640" w:firstLineChars="200"/>
        <w:rPr>
          <w:rFonts w:ascii="仿宋_GB2312" w:hAnsi="Arial" w:eastAsia="仿宋_GB2312" w:cs="Arial"/>
          <w:b/>
          <w:sz w:val="32"/>
          <w:szCs w:val="32"/>
          <w:shd w:val="clear" w:color="auto" w:fill="FFFFFF"/>
        </w:rPr>
      </w:pPr>
      <w:r>
        <w:rPr>
          <w:rFonts w:hint="eastAsia" w:ascii="仿宋_GB2312" w:hAnsi="Arial" w:eastAsia="仿宋_GB2312" w:cs="Arial"/>
          <w:bCs/>
          <w:sz w:val="32"/>
          <w:szCs w:val="32"/>
          <w:shd w:val="clear" w:color="auto" w:fill="FFFFFF"/>
        </w:rPr>
        <w:t>（一）评价结论</w:t>
      </w:r>
    </w:p>
    <w:p>
      <w:pPr>
        <w:pStyle w:val="11"/>
        <w:spacing w:before="0" w:beforeAutospacing="0" w:after="0" w:afterAutospacing="0" w:line="578" w:lineRule="atLeast"/>
        <w:ind w:firstLine="640" w:firstLineChars="200"/>
        <w:rPr>
          <w:rFonts w:ascii="仿宋" w:hAnsi="仿宋" w:eastAsia="仿宋" w:cs="Arial"/>
          <w:sz w:val="32"/>
          <w:szCs w:val="32"/>
        </w:rPr>
      </w:pPr>
      <w:r>
        <w:rPr>
          <w:rFonts w:hint="eastAsia" w:ascii="仿宋_GB2312" w:eastAsia="仿宋_GB2312"/>
          <w:sz w:val="32"/>
          <w:szCs w:val="32"/>
          <w:shd w:val="clear" w:color="auto" w:fill="FFFFFF"/>
        </w:rPr>
        <w:t>根据万荣县级部门整体支出绩效自评评分表，本单位部门整体支出绩效评价得分是：投入绩效为</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0分，过程绩效为35分，产出绩效为20分，效果绩效为</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0分，总绩效为85分。绩效评级为“</w:t>
      </w:r>
      <w:r>
        <w:rPr>
          <w:rFonts w:hint="eastAsia" w:ascii="仿宋" w:hAnsi="仿宋" w:eastAsia="仿宋"/>
          <w:sz w:val="32"/>
          <w:szCs w:val="32"/>
        </w:rPr>
        <w:t>良</w:t>
      </w:r>
      <w:r>
        <w:rPr>
          <w:rFonts w:hint="eastAsia" w:ascii="仿宋_GB2312" w:eastAsia="仿宋_GB2312"/>
          <w:sz w:val="32"/>
          <w:szCs w:val="32"/>
          <w:shd w:val="clear" w:color="auto" w:fill="FFFFFF"/>
        </w:rPr>
        <w:t>”。</w:t>
      </w:r>
      <w:r>
        <w:rPr>
          <w:rFonts w:hint="eastAsia" w:ascii="仿宋" w:hAnsi="仿宋" w:eastAsia="仿宋"/>
          <w:sz w:val="32"/>
          <w:szCs w:val="32"/>
        </w:rPr>
        <w:t>具体得分情况见部门整体支出绩效评价评分表。</w:t>
      </w:r>
    </w:p>
    <w:p>
      <w:pPr>
        <w:pStyle w:val="11"/>
        <w:spacing w:before="0" w:beforeAutospacing="0" w:after="0" w:afterAutospacing="0" w:line="578" w:lineRule="atLeast"/>
        <w:ind w:firstLine="640" w:firstLineChars="200"/>
        <w:rPr>
          <w:rFonts w:ascii="仿宋" w:hAnsi="仿宋" w:eastAsia="仿宋"/>
          <w:sz w:val="32"/>
          <w:szCs w:val="32"/>
        </w:rPr>
      </w:pPr>
      <w:r>
        <w:rPr>
          <w:rFonts w:hint="eastAsia" w:ascii="仿宋" w:hAnsi="仿宋" w:eastAsia="仿宋"/>
          <w:sz w:val="32"/>
          <w:szCs w:val="32"/>
        </w:rPr>
        <w:t>（二）主要绩效</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2020年</w:t>
      </w:r>
      <w:r>
        <w:rPr>
          <w:rFonts w:hint="eastAsia" w:ascii="仿宋_GB2312" w:hAnsi="仿宋_GB2312" w:eastAsia="仿宋_GB2312" w:cs="仿宋_GB2312"/>
          <w:sz w:val="32"/>
          <w:szCs w:val="32"/>
        </w:rPr>
        <w:t>实施完成</w:t>
      </w:r>
      <w:r>
        <w:rPr>
          <w:rFonts w:hint="eastAsia" w:ascii="仿宋_GB2312" w:eastAsia="仿宋_GB2312"/>
          <w:sz w:val="32"/>
          <w:szCs w:val="32"/>
        </w:rPr>
        <w:t>38个审计项目，查出问题金额75925万元，上缴国库6649万元，规范账务处理1625万元，向纪检监察机关移交案件5件，处理7人。以管理的视角去解决问题，提出审计建议42条，提交审计信息简报30篇，督促审计对象建立完善相关制度15项，审计工作在严肃财经法纪、推进依法行政、维护群众利益、促进廉政建设等方面发挥了积极作用。</w:t>
      </w:r>
    </w:p>
    <w:p>
      <w:pPr>
        <w:pStyle w:val="11"/>
        <w:spacing w:before="0" w:beforeAutospacing="0" w:after="0" w:afterAutospacing="0" w:line="578" w:lineRule="atLeast"/>
        <w:ind w:firstLine="642"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五、存在问题</w:t>
      </w:r>
    </w:p>
    <w:p>
      <w:pPr>
        <w:pStyle w:val="5"/>
        <w:widowControl/>
        <w:spacing w:line="33" w:lineRule="atLeas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一是审计工作质量需进一步提升，对重大投资项目审计的深度和力度还不够。</w:t>
      </w:r>
    </w:p>
    <w:p>
      <w:pPr>
        <w:pStyle w:val="5"/>
        <w:widowControl/>
        <w:spacing w:line="33" w:lineRule="atLeas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二是审计方式方法还比较单一，计算机辅助审计等先进的现代审计方法运用还不够。</w:t>
      </w:r>
    </w:p>
    <w:p>
      <w:pPr>
        <w:pStyle w:val="5"/>
        <w:widowControl/>
        <w:spacing w:line="33" w:lineRule="atLeas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三是审计人员综合素质有待进一步提高。</w:t>
      </w:r>
    </w:p>
    <w:p>
      <w:pPr>
        <w:pStyle w:val="11"/>
        <w:spacing w:before="0" w:beforeAutospacing="0" w:after="0" w:afterAutospacing="0" w:line="578" w:lineRule="atLeast"/>
        <w:ind w:firstLine="642"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六、整改措施及建议</w:t>
      </w:r>
    </w:p>
    <w:p>
      <w:pPr>
        <w:pStyle w:val="5"/>
        <w:widowControl/>
        <w:spacing w:line="33" w:lineRule="atLeas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一是创新审计方法，提升工作质量。注重审计跟踪跟进，做到财政资金运用到哪里，审计就主动跟进到哪里。注重现代审计技术的普及应用。注重审计方式转变，利用有效审计资源，在重大审计项目上形成合力。</w:t>
      </w:r>
    </w:p>
    <w:p>
      <w:pPr>
        <w:pStyle w:val="5"/>
        <w:widowControl/>
        <w:spacing w:line="33" w:lineRule="atLeast"/>
        <w:ind w:firstLine="640" w:firstLineChars="200"/>
        <w:jc w:val="both"/>
        <w:rPr>
          <w:rFonts w:ascii="仿宋" w:hAnsi="仿宋" w:eastAsia="仿宋" w:cs="宋体"/>
          <w:color w:val="000000"/>
          <w:sz w:val="32"/>
          <w:szCs w:val="32"/>
        </w:rPr>
      </w:pPr>
      <w:r>
        <w:rPr>
          <w:rFonts w:hint="eastAsia" w:ascii="仿宋" w:hAnsi="仿宋" w:eastAsia="仿宋" w:cs="宋体"/>
          <w:color w:val="000000"/>
          <w:sz w:val="32"/>
          <w:szCs w:val="32"/>
        </w:rPr>
        <w:t>二是创新审计内容，增强监督实效。围绕县委、县政府的重大决定，在审计中努力做到更加关注民生、更加关注绩效、更加关注风险、更加关注宏观，多从机制、制度上找原因、提建议、促规范。</w:t>
      </w:r>
    </w:p>
    <w:p>
      <w:pPr>
        <w:pStyle w:val="5"/>
        <w:widowControl/>
        <w:spacing w:line="33" w:lineRule="atLeast"/>
        <w:ind w:firstLine="640" w:firstLineChars="200"/>
        <w:jc w:val="both"/>
        <w:rPr>
          <w:rFonts w:ascii="仿宋" w:hAnsi="仿宋" w:eastAsia="仿宋"/>
          <w:kern w:val="2"/>
          <w:sz w:val="32"/>
          <w:szCs w:val="32"/>
        </w:rPr>
      </w:pPr>
      <w:r>
        <w:rPr>
          <w:rFonts w:hint="eastAsia" w:ascii="仿宋" w:hAnsi="仿宋" w:eastAsia="仿宋" w:cs="宋体"/>
          <w:color w:val="000000"/>
          <w:sz w:val="32"/>
          <w:szCs w:val="32"/>
        </w:rPr>
        <w:t>三是创新审计机制，夯</w:t>
      </w:r>
      <w:r>
        <w:rPr>
          <w:rFonts w:hint="eastAsia" w:ascii="仿宋" w:hAnsi="仿宋" w:eastAsia="仿宋"/>
          <w:kern w:val="2"/>
          <w:sz w:val="32"/>
          <w:szCs w:val="32"/>
        </w:rPr>
        <w:t>实执法基础。建立完善审计公开机制、督查机制、问责机制，加强“责任、忠诚、清廉、依法、独立、奉献”的审计人员核心价值观教育，深入推进党风廉政建设，规范权力运行，努力保持审计队伍的良好形象。</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ind w:firstLine="630"/>
        <w:jc w:val="left"/>
        <w:rPr>
          <w:rFonts w:ascii="仿宋" w:hAnsi="仿宋" w:eastAsia="仿宋"/>
          <w:sz w:val="32"/>
          <w:szCs w:val="32"/>
        </w:rPr>
      </w:pPr>
    </w:p>
    <w:p>
      <w:pPr>
        <w:ind w:firstLine="630"/>
        <w:jc w:val="left"/>
        <w:rPr>
          <w:rFonts w:ascii="仿宋" w:hAnsi="仿宋" w:eastAsia="仿宋"/>
          <w:sz w:val="32"/>
          <w:szCs w:val="32"/>
        </w:rPr>
      </w:pPr>
    </w:p>
    <w:p>
      <w:pPr>
        <w:ind w:firstLine="630"/>
        <w:jc w:val="left"/>
        <w:rPr>
          <w:rFonts w:ascii="仿宋" w:hAnsi="仿宋" w:eastAsia="仿宋"/>
          <w:sz w:val="32"/>
          <w:szCs w:val="32"/>
        </w:rPr>
      </w:pPr>
    </w:p>
    <w:p>
      <w:pPr>
        <w:ind w:firstLine="630"/>
        <w:jc w:val="left"/>
        <w:rPr>
          <w:rFonts w:ascii="仿宋" w:hAnsi="仿宋" w:eastAsia="仿宋"/>
          <w:sz w:val="32"/>
          <w:szCs w:val="32"/>
        </w:rPr>
      </w:pPr>
    </w:p>
    <w:p/>
    <w:p/>
    <w:p/>
    <w:p/>
    <w:p/>
    <w:p/>
    <w:p/>
    <w:p/>
    <w:p/>
    <w:p>
      <w:pPr>
        <w:tabs>
          <w:tab w:val="left" w:pos="381"/>
        </w:tabs>
        <w:jc w:val="left"/>
        <w:rPr>
          <w:rFonts w:ascii="仿宋" w:hAnsi="仿宋" w:eastAsia="仿宋"/>
          <w:sz w:val="32"/>
          <w:szCs w:val="32"/>
        </w:rPr>
      </w:pPr>
      <w:r>
        <w:rPr>
          <w:rFonts w:hint="eastAsia"/>
        </w:rPr>
        <w:tab/>
      </w:r>
      <w:r>
        <w:rPr>
          <w:rFonts w:hint="eastAsia" w:ascii="仿宋" w:hAnsi="仿宋" w:eastAsia="仿宋"/>
          <w:sz w:val="32"/>
          <w:szCs w:val="32"/>
        </w:rPr>
        <w:t xml:space="preserve">  </w:t>
      </w:r>
    </w:p>
    <w:p>
      <w:pPr>
        <w:ind w:firstLine="630"/>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9411A48"/>
    <w:multiLevelType w:val="singleLevel"/>
    <w:tmpl w:val="49411A48"/>
    <w:lvl w:ilvl="0" w:tentative="0">
      <w:start w:val="4"/>
      <w:numFmt w:val="chineseCounting"/>
      <w:suff w:val="nothing"/>
      <w:lvlText w:val="（%1）"/>
      <w:lvlJc w:val="left"/>
      <w:rPr>
        <w:rFonts w:hint="eastAsia"/>
      </w:rPr>
    </w:lvl>
  </w:abstractNum>
  <w:abstractNum w:abstractNumId="2">
    <w:nsid w:val="6E360C3B"/>
    <w:multiLevelType w:val="singleLevel"/>
    <w:tmpl w:val="6E360C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WE2MjY1MWYxMmMwNjVhOWZhZDVhZmI5M2E3ZGIifQ=="/>
  </w:docVars>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0E2C"/>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3332"/>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5CB6"/>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25218"/>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2F0696"/>
    <w:rsid w:val="07262778"/>
    <w:rsid w:val="08900315"/>
    <w:rsid w:val="0A146810"/>
    <w:rsid w:val="0B4C4BCD"/>
    <w:rsid w:val="0BDF7809"/>
    <w:rsid w:val="0C037B50"/>
    <w:rsid w:val="101F26DF"/>
    <w:rsid w:val="10716182"/>
    <w:rsid w:val="11B54ABA"/>
    <w:rsid w:val="165226C0"/>
    <w:rsid w:val="176257A7"/>
    <w:rsid w:val="19080E2D"/>
    <w:rsid w:val="19D32A11"/>
    <w:rsid w:val="1A0C0C25"/>
    <w:rsid w:val="1B6C262E"/>
    <w:rsid w:val="1CBF0E6B"/>
    <w:rsid w:val="1FE5152D"/>
    <w:rsid w:val="20416C72"/>
    <w:rsid w:val="23082B47"/>
    <w:rsid w:val="234F3A23"/>
    <w:rsid w:val="24FC7314"/>
    <w:rsid w:val="258827D7"/>
    <w:rsid w:val="26582590"/>
    <w:rsid w:val="27A80F21"/>
    <w:rsid w:val="282B1FB1"/>
    <w:rsid w:val="2D2656EB"/>
    <w:rsid w:val="2F42265B"/>
    <w:rsid w:val="30BB5FC5"/>
    <w:rsid w:val="31D02012"/>
    <w:rsid w:val="34643817"/>
    <w:rsid w:val="34CA6576"/>
    <w:rsid w:val="34F34CBE"/>
    <w:rsid w:val="391B6B61"/>
    <w:rsid w:val="39BF3DD9"/>
    <w:rsid w:val="39F177BE"/>
    <w:rsid w:val="3C9C7B4F"/>
    <w:rsid w:val="3CA94022"/>
    <w:rsid w:val="3CAC72A1"/>
    <w:rsid w:val="3CC51409"/>
    <w:rsid w:val="3CD959B1"/>
    <w:rsid w:val="3EBE1CFF"/>
    <w:rsid w:val="3EC842F0"/>
    <w:rsid w:val="3ED93AEE"/>
    <w:rsid w:val="40E65C2B"/>
    <w:rsid w:val="42661871"/>
    <w:rsid w:val="430D1E4C"/>
    <w:rsid w:val="43804BD0"/>
    <w:rsid w:val="44387C6E"/>
    <w:rsid w:val="445F355F"/>
    <w:rsid w:val="44636F08"/>
    <w:rsid w:val="45AB6366"/>
    <w:rsid w:val="47F300CA"/>
    <w:rsid w:val="49A42318"/>
    <w:rsid w:val="49F3681C"/>
    <w:rsid w:val="4B1201EA"/>
    <w:rsid w:val="4B1D5464"/>
    <w:rsid w:val="4E044651"/>
    <w:rsid w:val="4EE07886"/>
    <w:rsid w:val="533B580F"/>
    <w:rsid w:val="56AF03F7"/>
    <w:rsid w:val="584D0DE0"/>
    <w:rsid w:val="58C6399A"/>
    <w:rsid w:val="5ABF77A7"/>
    <w:rsid w:val="5AD1410F"/>
    <w:rsid w:val="5C156C3D"/>
    <w:rsid w:val="5C935526"/>
    <w:rsid w:val="5F192373"/>
    <w:rsid w:val="60DB10CE"/>
    <w:rsid w:val="616B4975"/>
    <w:rsid w:val="61CF4FA1"/>
    <w:rsid w:val="62B053D8"/>
    <w:rsid w:val="6363623E"/>
    <w:rsid w:val="63F53305"/>
    <w:rsid w:val="64BE1A7A"/>
    <w:rsid w:val="6609457C"/>
    <w:rsid w:val="661D7E04"/>
    <w:rsid w:val="66C63667"/>
    <w:rsid w:val="68654C83"/>
    <w:rsid w:val="6978354D"/>
    <w:rsid w:val="69C50F5F"/>
    <w:rsid w:val="69D165BA"/>
    <w:rsid w:val="6B3A2793"/>
    <w:rsid w:val="6B837A60"/>
    <w:rsid w:val="6CDD6769"/>
    <w:rsid w:val="6D012104"/>
    <w:rsid w:val="6D9C5056"/>
    <w:rsid w:val="6DD01154"/>
    <w:rsid w:val="6EFE23DB"/>
    <w:rsid w:val="70875686"/>
    <w:rsid w:val="70BD776F"/>
    <w:rsid w:val="7235737C"/>
    <w:rsid w:val="72FA4A18"/>
    <w:rsid w:val="766854B1"/>
    <w:rsid w:val="77903F0E"/>
    <w:rsid w:val="7A7C3972"/>
    <w:rsid w:val="7AD5466B"/>
    <w:rsid w:val="7AE93032"/>
    <w:rsid w:val="7AFD4ADF"/>
    <w:rsid w:val="7B7A4A86"/>
    <w:rsid w:val="7BE65789"/>
    <w:rsid w:val="7E2F1585"/>
    <w:rsid w:val="7F196FD4"/>
    <w:rsid w:val="CFAFC2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仿宋" w:hAnsi="仿宋" w:eastAsia="仿宋" w:cs="仿宋"/>
      <w:kern w:val="2"/>
      <w:sz w:val="21"/>
      <w:szCs w:val="21"/>
      <w:lang w:val="en-US" w:eastAsia="zh-CN" w:bidi="ar-SA"/>
    </w:r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kern w:val="0"/>
      <w:sz w:val="24"/>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444444"/>
      <w:u w:val="none"/>
    </w:rPr>
  </w:style>
  <w:style w:type="character" w:styleId="10">
    <w:name w:val="Hyperlink"/>
    <w:basedOn w:val="8"/>
    <w:semiHidden/>
    <w:unhideWhenUsed/>
    <w:qFormat/>
    <w:uiPriority w:val="99"/>
    <w:rPr>
      <w:color w:val="444444"/>
      <w:u w:val="none"/>
    </w:rPr>
  </w:style>
  <w:style w:type="paragraph" w:customStyle="1" w:styleId="11">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2">
    <w:name w:val="页眉 Char"/>
    <w:basedOn w:val="8"/>
    <w:link w:val="4"/>
    <w:semiHidden/>
    <w:qFormat/>
    <w:locked/>
    <w:uiPriority w:val="99"/>
    <w:rPr>
      <w:rFonts w:ascii="Times New Roman" w:hAnsi="Times New Roman" w:eastAsia="宋体" w:cs="Times New Roman"/>
      <w:sz w:val="18"/>
      <w:szCs w:val="18"/>
    </w:rPr>
  </w:style>
  <w:style w:type="character" w:customStyle="1" w:styleId="13">
    <w:name w:val="页脚 Char"/>
    <w:basedOn w:val="8"/>
    <w:link w:val="3"/>
    <w:semiHidden/>
    <w:qFormat/>
    <w:locked/>
    <w:uiPriority w:val="99"/>
    <w:rPr>
      <w:rFonts w:ascii="Times New Roman" w:hAnsi="Times New Roman" w:eastAsia="宋体" w:cs="Times New Roman"/>
      <w:sz w:val="18"/>
      <w:szCs w:val="18"/>
    </w:rPr>
  </w:style>
  <w:style w:type="character" w:customStyle="1" w:styleId="14">
    <w:name w:val="wx-space"/>
    <w:basedOn w:val="8"/>
    <w:qFormat/>
    <w:uiPriority w:val="0"/>
  </w:style>
  <w:style w:type="character" w:customStyle="1" w:styleId="15">
    <w:name w:val="wx-space1"/>
    <w:basedOn w:val="8"/>
    <w:qFormat/>
    <w:uiPriority w:val="0"/>
  </w:style>
  <w:style w:type="character" w:customStyle="1" w:styleId="16">
    <w:name w:val="hover25"/>
    <w:basedOn w:val="8"/>
    <w:qFormat/>
    <w:uiPriority w:val="0"/>
    <w:rPr>
      <w:color w:val="000000"/>
      <w:shd w:val="clear" w:color="auto" w:fill="FFFFFF"/>
    </w:rPr>
  </w:style>
  <w:style w:type="character" w:customStyle="1" w:styleId="17">
    <w:name w:val="font21"/>
    <w:basedOn w:val="8"/>
    <w:qFormat/>
    <w:uiPriority w:val="0"/>
    <w:rPr>
      <w:rFonts w:hint="default" w:ascii="仿宋_GB2312" w:eastAsia="仿宋_GB2312" w:cs="仿宋_GB2312"/>
      <w:color w:val="000000"/>
      <w:sz w:val="20"/>
      <w:szCs w:val="20"/>
      <w:u w:val="none"/>
    </w:rPr>
  </w:style>
  <w:style w:type="character" w:customStyle="1" w:styleId="18">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6367</Words>
  <Characters>6824</Characters>
  <Lines>4</Lines>
  <Paragraphs>13</Paragraphs>
  <TotalTime>51</TotalTime>
  <ScaleCrop>false</ScaleCrop>
  <LinksUpToDate>false</LinksUpToDate>
  <CharactersWithSpaces>6838</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2017-03-08T17:26:00Z</dcterms:created>
  <dc:creator>AutoBVT</dc:creator>
  <cp:lastModifiedBy>user</cp:lastModifiedBy>
  <dcterms:modified xsi:type="dcterms:W3CDTF">2023-02-23T16:09:11Z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54EB5812662B11CC271FF763F7C179A5</vt:lpwstr>
  </property>
</Properties>
</file>