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pacing w:val="-20"/>
          <w:sz w:val="52"/>
          <w:szCs w:val="52"/>
          <w:lang w:eastAsia="zh-CN"/>
        </w:rPr>
      </w:pPr>
    </w:p>
    <w:p>
      <w:pPr>
        <w:jc w:val="center"/>
        <w:rPr>
          <w:rFonts w:hint="eastAsia" w:ascii="黑体" w:hAnsi="黑体" w:eastAsia="黑体"/>
          <w:spacing w:val="-20"/>
          <w:sz w:val="44"/>
          <w:szCs w:val="44"/>
        </w:rPr>
      </w:pPr>
      <w:bookmarkStart w:id="2" w:name="_GoBack"/>
      <w:r>
        <w:rPr>
          <w:rFonts w:hint="eastAsia" w:ascii="黑体" w:hAnsi="黑体" w:eastAsia="黑体"/>
          <w:spacing w:val="-20"/>
          <w:sz w:val="44"/>
          <w:szCs w:val="44"/>
        </w:rPr>
        <w:t>万荣县</w:t>
      </w:r>
      <w:r>
        <w:rPr>
          <w:rFonts w:hint="eastAsia" w:ascii="黑体" w:hAnsi="黑体" w:eastAsia="黑体"/>
          <w:spacing w:val="-20"/>
          <w:sz w:val="44"/>
          <w:szCs w:val="44"/>
          <w:lang w:eastAsia="zh-CN"/>
        </w:rPr>
        <w:t>审计局</w:t>
      </w:r>
      <w:r>
        <w:rPr>
          <w:rFonts w:hint="eastAsia" w:ascii="黑体" w:hAnsi="黑体" w:eastAsia="黑体"/>
          <w:spacing w:val="-20"/>
          <w:sz w:val="44"/>
          <w:szCs w:val="44"/>
        </w:rPr>
        <w:t>单位</w:t>
      </w:r>
    </w:p>
    <w:p>
      <w:pPr>
        <w:jc w:val="center"/>
        <w:rPr>
          <w:rFonts w:hint="eastAsia" w:ascii="黑体" w:hAnsi="黑体" w:eastAsia="黑体"/>
          <w:spacing w:val="-20"/>
          <w:sz w:val="44"/>
          <w:szCs w:val="44"/>
        </w:rPr>
      </w:pPr>
      <w:r>
        <w:rPr>
          <w:rFonts w:hint="eastAsia" w:ascii="黑体" w:hAnsi="黑体" w:eastAsia="黑体"/>
          <w:spacing w:val="-20"/>
          <w:sz w:val="44"/>
          <w:szCs w:val="44"/>
          <w:lang w:val="en-US" w:eastAsia="zh-CN"/>
        </w:rPr>
        <w:t>2021</w:t>
      </w:r>
      <w:r>
        <w:rPr>
          <w:rFonts w:hint="eastAsia" w:ascii="黑体" w:hAnsi="黑体" w:eastAsia="黑体"/>
          <w:spacing w:val="-20"/>
          <w:sz w:val="44"/>
          <w:szCs w:val="44"/>
          <w:lang w:eastAsia="zh-CN"/>
        </w:rPr>
        <w:t>年</w:t>
      </w:r>
      <w:r>
        <w:rPr>
          <w:rFonts w:hint="eastAsia" w:ascii="黑体" w:hAnsi="黑体" w:eastAsia="黑体"/>
          <w:spacing w:val="-20"/>
          <w:sz w:val="44"/>
          <w:szCs w:val="44"/>
        </w:rPr>
        <w:t>部门整体支出绩效自评报告</w:t>
      </w:r>
    </w:p>
    <w:bookmarkEnd w:id="2"/>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单位</w:t>
      </w:r>
      <w:r>
        <w:rPr>
          <w:rFonts w:hint="eastAsia" w:ascii="黑体" w:hAnsi="黑体" w:eastAsia="黑体" w:cs="黑体"/>
          <w:sz w:val="32"/>
          <w:szCs w:val="32"/>
        </w:rPr>
        <w:t>名称：</w:t>
      </w:r>
      <w:r>
        <w:rPr>
          <w:rFonts w:hint="eastAsia" w:ascii="黑体" w:hAnsi="黑体" w:eastAsia="黑体" w:cs="黑体"/>
          <w:sz w:val="32"/>
          <w:szCs w:val="32"/>
          <w:lang w:eastAsia="zh-CN"/>
        </w:rPr>
        <w:t>万荣县审计局</w:t>
      </w:r>
      <w:r>
        <w:rPr>
          <w:rFonts w:hint="eastAsia" w:ascii="黑体" w:hAnsi="黑体" w:eastAsia="黑体" w:cs="黑体"/>
          <w:sz w:val="32"/>
          <w:szCs w:val="32"/>
          <w:lang w:eastAsia="zh-CN"/>
        </w:rPr>
        <w:tab/>
      </w:r>
      <w:r>
        <w:rPr>
          <w:rFonts w:hint="eastAsia" w:ascii="黑体" w:hAnsi="黑体" w:eastAsia="黑体" w:cs="黑体"/>
          <w:sz w:val="32"/>
          <w:szCs w:val="32"/>
          <w:lang w:eastAsia="zh-CN"/>
        </w:rPr>
        <w:tab/>
      </w:r>
      <w:r>
        <w:rPr>
          <w:rFonts w:hint="eastAsia" w:ascii="黑体" w:hAnsi="黑体" w:eastAsia="黑体" w:cs="黑体"/>
          <w:sz w:val="32"/>
          <w:szCs w:val="32"/>
          <w:lang w:eastAsia="zh-CN"/>
        </w:rPr>
        <w:tab/>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单位负责人：</w:t>
      </w:r>
    </w:p>
    <w:p>
      <w:pPr>
        <w:keepNext w:val="0"/>
        <w:keepLines w:val="0"/>
        <w:pageBreakBefore w:val="0"/>
        <w:widowControl w:val="0"/>
        <w:kinsoku/>
        <w:wordWrap/>
        <w:overflowPunct/>
        <w:topLinePunct w:val="0"/>
        <w:autoSpaceDE/>
        <w:autoSpaceDN/>
        <w:bidi w:val="0"/>
        <w:adjustRightInd/>
        <w:snapToGrid/>
        <w:spacing w:line="11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评价人员：</w:t>
      </w: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p>
    <w:p>
      <w:pPr>
        <w:jc w:val="center"/>
        <w:rPr>
          <w:rFonts w:hint="eastAsia"/>
        </w:rPr>
      </w:pPr>
      <w:r>
        <w:rPr>
          <w:rFonts w:hint="eastAsia" w:ascii="黑体" w:hAnsi="黑体" w:eastAsia="黑体" w:cs="黑体"/>
          <w:sz w:val="32"/>
          <w:szCs w:val="32"/>
          <w:lang w:val="en-US" w:eastAsia="zh-CN"/>
        </w:rPr>
        <w:t>2022</w:t>
      </w:r>
      <w:r>
        <w:rPr>
          <w:rFonts w:hint="eastAsia" w:ascii="黑体" w:hAnsi="黑体" w:eastAsia="黑体" w:cs="黑体"/>
          <w:sz w:val="32"/>
          <w:szCs w:val="32"/>
        </w:rPr>
        <w:t>年</w:t>
      </w:r>
      <w:r>
        <w:rPr>
          <w:rFonts w:hint="eastAsia" w:ascii="黑体" w:hAnsi="黑体" w:eastAsia="黑体" w:cs="黑体"/>
          <w:sz w:val="32"/>
          <w:szCs w:val="32"/>
          <w:lang w:val="en-US" w:eastAsia="zh-CN"/>
        </w:rPr>
        <w:t xml:space="preserve"> 5</w:t>
      </w:r>
      <w:r>
        <w:rPr>
          <w:rFonts w:hint="eastAsia" w:ascii="黑体" w:hAnsi="黑体" w:eastAsia="黑体" w:cs="黑体"/>
          <w:sz w:val="32"/>
          <w:szCs w:val="32"/>
        </w:rPr>
        <w:t>月</w:t>
      </w:r>
    </w:p>
    <w:p>
      <w:pPr>
        <w:jc w:val="left"/>
        <w:rPr>
          <w:rFonts w:hint="eastAsia" w:ascii="黑体" w:hAnsi="黑体" w:eastAsia="黑体"/>
          <w:spacing w:val="-20"/>
          <w:sz w:val="44"/>
          <w:szCs w:val="44"/>
        </w:rPr>
      </w:pPr>
    </w:p>
    <w:p>
      <w:pPr>
        <w:pStyle w:val="11"/>
        <w:spacing w:before="0" w:beforeAutospacing="0" w:after="0" w:afterAutospacing="0" w:line="578" w:lineRule="atLeast"/>
        <w:rPr>
          <w:rFonts w:ascii="黑体" w:hAnsi="黑体" w:eastAsia="黑体" w:cs="Times New Roman"/>
          <w:color w:val="auto"/>
          <w:kern w:val="2"/>
          <w:sz w:val="44"/>
          <w:szCs w:val="44"/>
        </w:rPr>
      </w:pP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578" w:lineRule="atLeast"/>
        <w:ind w:firstLine="642" w:firstLineChars="200"/>
        <w:textAlignment w:val="auto"/>
        <w:outlineLvl w:val="9"/>
        <w:rPr>
          <w:rFonts w:ascii="仿宋" w:hAnsi="仿宋" w:eastAsia="仿宋" w:cs="Arial"/>
          <w:b/>
          <w:sz w:val="32"/>
          <w:szCs w:val="32"/>
          <w:shd w:val="clear" w:color="auto" w:fill="FFFFFF"/>
        </w:rPr>
      </w:pPr>
      <w:r>
        <w:rPr>
          <w:rFonts w:hint="eastAsia" w:ascii="仿宋" w:hAnsi="仿宋" w:eastAsia="仿宋" w:cs="Arial"/>
          <w:b/>
          <w:sz w:val="32"/>
          <w:szCs w:val="32"/>
          <w:shd w:val="clear" w:color="auto" w:fill="FFFFFF"/>
        </w:rPr>
        <w:t>一、部门基本情况</w:t>
      </w:r>
    </w:p>
    <w:p>
      <w:pPr>
        <w:pStyle w:val="11"/>
        <w:spacing w:before="0" w:beforeAutospacing="0" w:after="0" w:afterAutospacing="0" w:line="578" w:lineRule="atLeast"/>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rPr>
        <w:t>（一）部门职责及组成</w:t>
      </w:r>
    </w:p>
    <w:p>
      <w:pPr>
        <w:tabs>
          <w:tab w:val="left" w:pos="1260"/>
        </w:tabs>
        <w:ind w:firstLine="640" w:firstLineChars="200"/>
        <w:rPr>
          <w:rFonts w:hint="eastAsia" w:ascii="仿宋" w:hAnsi="仿宋" w:eastAsia="仿宋" w:cs="Times New Roman"/>
          <w:sz w:val="32"/>
          <w:szCs w:val="32"/>
        </w:rPr>
      </w:pPr>
      <w:r>
        <w:rPr>
          <w:rFonts w:hint="eastAsia" w:ascii="仿宋" w:hAnsi="仿宋" w:eastAsia="仿宋"/>
          <w:sz w:val="32"/>
          <w:szCs w:val="32"/>
        </w:rPr>
        <w:t>万荣</w:t>
      </w:r>
      <w:r>
        <w:rPr>
          <w:rFonts w:hint="eastAsia" w:ascii="仿宋" w:hAnsi="仿宋" w:eastAsia="仿宋" w:cs="Times New Roman"/>
          <w:sz w:val="32"/>
          <w:szCs w:val="32"/>
        </w:rPr>
        <w:t>县审计局贯彻落实党中央、省委、市委、县委关于审计工作的方针政策和决策部署，在履行职责过程中坚持和加强党对审计工作的集中统一领导。主要职责是：</w:t>
      </w:r>
    </w:p>
    <w:p>
      <w:pPr>
        <w:tabs>
          <w:tab w:val="left" w:pos="1260"/>
        </w:tabs>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1、</w:t>
      </w:r>
      <w:r>
        <w:rPr>
          <w:rFonts w:hint="default" w:ascii="仿宋" w:hAnsi="仿宋" w:eastAsia="仿宋" w:cs="Times New Roman"/>
          <w:sz w:val="32"/>
          <w:szCs w:val="32"/>
        </w:rPr>
        <w:t>主管全县审计工作。负责对县财政收支和法律法规规定属于审计监督范围的财务收支的真实、合法和效益进行审计监督，对公共资金、国有资产、国有资源和领导干部履行经济责任情况实行审计全覆盖，对领导干部实行自然资源资产离任审计，对国家、省、市、县有关重大政策措施贯彻落实情况进行跟踪审计。对审计、专项审计调查和核查社会审计机构相关审计报告的结果承担责任，并负有督促被审计单位整改的责任。</w:t>
      </w:r>
    </w:p>
    <w:p>
      <w:pPr>
        <w:tabs>
          <w:tab w:val="left" w:pos="1260"/>
        </w:tabs>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2、</w:t>
      </w:r>
      <w:r>
        <w:rPr>
          <w:rFonts w:hint="default" w:ascii="仿宋" w:hAnsi="仿宋" w:eastAsia="仿宋" w:cs="Times New Roman"/>
          <w:sz w:val="32"/>
          <w:szCs w:val="32"/>
        </w:rPr>
        <w:t>制定审计工作指南并监督执行。制定并组织实施全县审计工作发展规划和专业领域审计工作规划。对直接审计、调查和核查的事项依法进行审计评价，做出审计决定或提出审计建议。</w:t>
      </w:r>
    </w:p>
    <w:p>
      <w:pPr>
        <w:tabs>
          <w:tab w:val="left" w:pos="1260"/>
        </w:tabs>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3、</w:t>
      </w:r>
      <w:r>
        <w:rPr>
          <w:rFonts w:hint="default" w:ascii="仿宋" w:hAnsi="仿宋" w:eastAsia="仿宋" w:cs="Times New Roman"/>
          <w:sz w:val="32"/>
          <w:szCs w:val="32"/>
        </w:rPr>
        <w:t>向县委审计委员会提出年度县级预算执行和其他财政支出情况的审计报告。向县长提出年度县级预算执行和其他财政收支情况的审计结果报告。受县人民政府委托向县人大常委会提出县级预算执行和其他财政收支情况的审计工作报告、审计查出问题整改情况报告。向县委、县人民政府报告对其他事项的审计和专项审计调查情况及结果。依法向社会公布审计结果。向县委和县人民政府有关部门、乡镇党委和人民政府通报审计情况和审计结果。</w:t>
      </w:r>
    </w:p>
    <w:p>
      <w:pPr>
        <w:tabs>
          <w:tab w:val="left" w:pos="1260"/>
        </w:tabs>
        <w:ind w:firstLine="640" w:firstLineChars="200"/>
        <w:rPr>
          <w:rFonts w:hint="default" w:ascii="仿宋" w:hAnsi="仿宋" w:eastAsia="仿宋" w:cs="Times New Roman"/>
          <w:sz w:val="32"/>
          <w:szCs w:val="32"/>
        </w:rPr>
      </w:pPr>
      <w:r>
        <w:rPr>
          <w:rFonts w:hint="eastAsia" w:ascii="仿宋" w:hAnsi="仿宋" w:eastAsia="仿宋" w:cs="Times New Roman"/>
          <w:kern w:val="2"/>
          <w:sz w:val="32"/>
          <w:szCs w:val="32"/>
          <w:lang w:val="en-US" w:eastAsia="zh-CN" w:bidi="ar-SA"/>
        </w:rPr>
        <w:t>4、</w:t>
      </w:r>
      <w:r>
        <w:rPr>
          <w:rFonts w:hint="default" w:ascii="仿宋" w:hAnsi="仿宋" w:eastAsia="仿宋" w:cs="Times New Roman"/>
          <w:kern w:val="2"/>
          <w:sz w:val="32"/>
          <w:szCs w:val="32"/>
          <w:lang w:val="en-US" w:eastAsia="zh-CN" w:bidi="ar-SA"/>
        </w:rPr>
        <w:t>直接审计下列事项，出具审计报告，在法定职权范围内做出审计决定，包括国家和省、市、县有关重大政策措施贯彻落实情况；县级预算执行情况和其他财政收支，县委和县人民政府机关各部门（含直属单位）预算执行情况、决算草案和其他财政收支；乡镇人民政府预算执行情况、决算草案和其他财政收支，县财政转移支付资金；使用县级财政资金的事业单位和社会团体的财务收支；县投资和以县投资为主的建设项目的预算执行情况和决算，县重大公共工程项目的资金管理使用和建设运营情况；自然资源管理、污染防治和生态保护与修复情况；县属国有</w:t>
      </w:r>
      <w:r>
        <w:rPr>
          <w:rFonts w:hint="default" w:ascii="仿宋" w:hAnsi="仿宋" w:eastAsia="仿宋" w:cs="Times New Roman"/>
          <w:sz w:val="32"/>
          <w:szCs w:val="32"/>
          <w:lang w:val="en-US" w:eastAsia="zh-CN"/>
        </w:rPr>
        <w:t>企业和金融机构、县人民政府规</w:t>
      </w:r>
      <w:r>
        <w:rPr>
          <w:rFonts w:hint="default" w:ascii="仿宋" w:hAnsi="仿宋" w:eastAsia="仿宋" w:cs="Times New Roman"/>
          <w:sz w:val="32"/>
          <w:szCs w:val="32"/>
        </w:rPr>
        <w:t>定的县国有资本占控股或主导地位的企业和金融机构境内外资产、负债和损益，县驻外非经营性机构的财务收支；有关社会保障基金、社会捐赠资金及其他基金、资金的财务收支；国际组织和外国政府援助、贷款项目；上级审计机关授权审计的其他审计事项；法律法规规定的其他事项。</w:t>
      </w:r>
    </w:p>
    <w:p>
      <w:pPr>
        <w:tabs>
          <w:tab w:val="left" w:pos="1260"/>
        </w:tabs>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5、</w:t>
      </w:r>
      <w:r>
        <w:rPr>
          <w:rFonts w:hint="default" w:ascii="仿宋" w:hAnsi="仿宋" w:eastAsia="仿宋" w:cs="Times New Roman"/>
          <w:sz w:val="32"/>
          <w:szCs w:val="32"/>
        </w:rPr>
        <w:t>按规定对县管党政主要领导干部及其他单位主要负责人实施经济责任审计和自然资源资产离任审计。</w:t>
      </w:r>
    </w:p>
    <w:p>
      <w:pPr>
        <w:tabs>
          <w:tab w:val="left" w:pos="1260"/>
        </w:tabs>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6、</w:t>
      </w:r>
      <w:r>
        <w:rPr>
          <w:rFonts w:hint="default" w:ascii="仿宋" w:hAnsi="仿宋" w:eastAsia="仿宋" w:cs="Times New Roman"/>
          <w:sz w:val="32"/>
          <w:szCs w:val="32"/>
        </w:rPr>
        <w:t>组织实施对国家财经法律、法规、规章、政策和宏观调控措施执行情况、财政预算管理及国有资产管理使用等与国家财政收支有关的特定事项进行专项审计调查。</w:t>
      </w:r>
    </w:p>
    <w:p>
      <w:pPr>
        <w:tabs>
          <w:tab w:val="left" w:pos="1260"/>
        </w:tabs>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7、</w:t>
      </w:r>
      <w:r>
        <w:rPr>
          <w:rFonts w:hint="default" w:ascii="仿宋" w:hAnsi="仿宋" w:eastAsia="仿宋" w:cs="Times New Roman"/>
          <w:sz w:val="32"/>
          <w:szCs w:val="32"/>
        </w:rPr>
        <w:t>依法检查审计决定执行情况，督促整改审计查出的问题，依法办理被审计单位对审计决定提请行政复议、行政诉讼或县人民政府裁决中的有关事项，协助配合有关部门查处相关重大案件。</w:t>
      </w:r>
    </w:p>
    <w:p>
      <w:pPr>
        <w:tabs>
          <w:tab w:val="left" w:pos="1260"/>
        </w:tabs>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8、</w:t>
      </w:r>
      <w:r>
        <w:rPr>
          <w:rFonts w:hint="default" w:ascii="仿宋" w:hAnsi="仿宋" w:eastAsia="仿宋" w:cs="Times New Roman"/>
          <w:sz w:val="32"/>
          <w:szCs w:val="32"/>
        </w:rPr>
        <w:t>指导和监督内部审计工作，核查社会审计机构对依法属于审计监督对象的单位出具的相关审计报告。</w:t>
      </w:r>
    </w:p>
    <w:p>
      <w:pPr>
        <w:tabs>
          <w:tab w:val="left" w:pos="1260"/>
        </w:tabs>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9、</w:t>
      </w:r>
      <w:r>
        <w:rPr>
          <w:rFonts w:hint="default" w:ascii="仿宋" w:hAnsi="仿宋" w:eastAsia="仿宋" w:cs="Times New Roman"/>
          <w:sz w:val="32"/>
          <w:szCs w:val="32"/>
        </w:rPr>
        <w:t>组织开展审计领域的交流与合作，指导和推广信息技术在审计领域的应用。  </w:t>
      </w:r>
    </w:p>
    <w:p>
      <w:pPr>
        <w:tabs>
          <w:tab w:val="left" w:pos="1260"/>
        </w:tabs>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10、</w:t>
      </w:r>
      <w:r>
        <w:rPr>
          <w:rFonts w:hint="default" w:ascii="仿宋" w:hAnsi="仿宋" w:eastAsia="仿宋" w:cs="Times New Roman"/>
          <w:sz w:val="32"/>
          <w:szCs w:val="32"/>
        </w:rPr>
        <w:t>完成县委县政府交办的其他任务。</w:t>
      </w:r>
    </w:p>
    <w:p>
      <w:pPr>
        <w:tabs>
          <w:tab w:val="left" w:pos="1260"/>
        </w:tabs>
        <w:ind w:firstLine="640" w:firstLineChars="200"/>
        <w:rPr>
          <w:rFonts w:hint="default" w:ascii="仿宋" w:hAnsi="仿宋" w:eastAsia="仿宋" w:cs="Times New Roman"/>
          <w:sz w:val="32"/>
          <w:szCs w:val="32"/>
        </w:rPr>
      </w:pPr>
      <w:r>
        <w:rPr>
          <w:rFonts w:hint="eastAsia" w:ascii="仿宋" w:hAnsi="仿宋" w:eastAsia="仿宋" w:cs="Times New Roman"/>
          <w:sz w:val="32"/>
          <w:szCs w:val="32"/>
          <w:lang w:val="en-US" w:eastAsia="zh-CN"/>
        </w:rPr>
        <w:t>11、</w:t>
      </w:r>
      <w:r>
        <w:rPr>
          <w:rFonts w:hint="default" w:ascii="仿宋" w:hAnsi="仿宋" w:eastAsia="仿宋" w:cs="Times New Roman"/>
          <w:sz w:val="32"/>
          <w:szCs w:val="32"/>
        </w:rPr>
        <w:t>职能转变。进一步完善审计管理体制，加强全县审计工作统筹，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tabs>
          <w:tab w:val="left" w:pos="1260"/>
        </w:tabs>
        <w:ind w:firstLine="640" w:firstLineChars="200"/>
        <w:rPr>
          <w:rFonts w:hint="eastAsia" w:ascii="仿宋" w:hAnsi="仿宋" w:eastAsia="仿宋"/>
          <w:sz w:val="32"/>
          <w:szCs w:val="32"/>
        </w:rPr>
      </w:pPr>
      <w:r>
        <w:rPr>
          <w:rFonts w:hint="eastAsia" w:ascii="仿宋" w:hAnsi="仿宋" w:eastAsia="仿宋"/>
          <w:sz w:val="32"/>
          <w:szCs w:val="32"/>
        </w:rPr>
        <w:t>万荣县审计局由办公室、农业股、财税股、法制股、企业股，经责股、行事股、投资股等八个股室组成。</w:t>
      </w:r>
    </w:p>
    <w:p>
      <w:pPr>
        <w:pStyle w:val="11"/>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（二）人员结构</w:t>
      </w:r>
    </w:p>
    <w:p>
      <w:pPr>
        <w:ind w:firstLine="640" w:firstLineChars="200"/>
        <w:rPr>
          <w:rFonts w:hint="eastAsia" w:ascii="仿宋" w:hAnsi="仿宋" w:eastAsia="仿宋"/>
          <w:sz w:val="32"/>
          <w:szCs w:val="32"/>
        </w:rPr>
      </w:pPr>
      <w:r>
        <w:rPr>
          <w:rFonts w:hint="eastAsia" w:ascii="仿宋" w:hAnsi="仿宋" w:eastAsia="仿宋"/>
          <w:sz w:val="32"/>
          <w:szCs w:val="32"/>
        </w:rPr>
        <w:t>审计局行政编制人员1</w:t>
      </w:r>
      <w:r>
        <w:rPr>
          <w:rFonts w:hint="eastAsia" w:ascii="仿宋" w:hAnsi="仿宋" w:eastAsia="仿宋"/>
          <w:sz w:val="32"/>
          <w:szCs w:val="32"/>
          <w:lang w:val="en-US" w:eastAsia="zh-CN"/>
        </w:rPr>
        <w:t>7</w:t>
      </w:r>
      <w:r>
        <w:rPr>
          <w:rFonts w:hint="eastAsia" w:ascii="仿宋" w:hAnsi="仿宋" w:eastAsia="仿宋"/>
          <w:sz w:val="32"/>
          <w:szCs w:val="32"/>
        </w:rPr>
        <w:t>人，实有1</w:t>
      </w:r>
      <w:r>
        <w:rPr>
          <w:rFonts w:hint="eastAsia" w:ascii="仿宋" w:hAnsi="仿宋" w:eastAsia="仿宋"/>
          <w:sz w:val="32"/>
          <w:szCs w:val="32"/>
          <w:lang w:val="en-US" w:eastAsia="zh-CN"/>
        </w:rPr>
        <w:t>5</w:t>
      </w:r>
      <w:r>
        <w:rPr>
          <w:rFonts w:hint="eastAsia" w:ascii="仿宋" w:hAnsi="仿宋" w:eastAsia="仿宋"/>
          <w:sz w:val="32"/>
          <w:szCs w:val="32"/>
        </w:rPr>
        <w:t>人，事业编制人员17人，实有1</w:t>
      </w:r>
      <w:r>
        <w:rPr>
          <w:rFonts w:hint="eastAsia" w:ascii="仿宋" w:hAnsi="仿宋" w:eastAsia="仿宋"/>
          <w:sz w:val="32"/>
          <w:szCs w:val="32"/>
          <w:lang w:val="en-US" w:eastAsia="zh-CN"/>
        </w:rPr>
        <w:t>6</w:t>
      </w:r>
      <w:r>
        <w:rPr>
          <w:rFonts w:hint="eastAsia" w:ascii="仿宋" w:hAnsi="仿宋" w:eastAsia="仿宋"/>
          <w:sz w:val="32"/>
          <w:szCs w:val="32"/>
        </w:rPr>
        <w:t>人。</w:t>
      </w:r>
    </w:p>
    <w:p>
      <w:pPr>
        <w:ind w:firstLine="640" w:firstLineChars="200"/>
        <w:rPr>
          <w:rFonts w:ascii="仿宋" w:hAnsi="仿宋" w:eastAsia="仿宋"/>
          <w:sz w:val="32"/>
          <w:szCs w:val="32"/>
        </w:rPr>
      </w:pPr>
      <w:r>
        <w:rPr>
          <w:rFonts w:hint="eastAsia" w:ascii="仿宋" w:hAnsi="仿宋" w:eastAsia="仿宋"/>
          <w:sz w:val="32"/>
          <w:szCs w:val="32"/>
        </w:rPr>
        <w:t>（三）车辆情况</w:t>
      </w:r>
    </w:p>
    <w:p>
      <w:pPr>
        <w:tabs>
          <w:tab w:val="left" w:pos="1260"/>
        </w:tabs>
        <w:ind w:firstLine="640" w:firstLineChars="200"/>
        <w:rPr>
          <w:rFonts w:ascii="仿宋" w:hAnsi="仿宋" w:eastAsia="仿宋"/>
          <w:sz w:val="32"/>
          <w:szCs w:val="32"/>
        </w:rPr>
      </w:pPr>
      <w:r>
        <w:rPr>
          <w:rFonts w:hint="eastAsia" w:ascii="仿宋" w:hAnsi="仿宋" w:eastAsia="仿宋"/>
          <w:sz w:val="32"/>
          <w:szCs w:val="32"/>
        </w:rPr>
        <w:t>公务用车改革后，我单位已无公务用车。</w:t>
      </w:r>
    </w:p>
    <w:p>
      <w:pPr>
        <w:numPr>
          <w:ilvl w:val="0"/>
          <w:numId w:val="1"/>
        </w:numPr>
        <w:ind w:firstLine="640" w:firstLineChars="200"/>
        <w:rPr>
          <w:rFonts w:hint="eastAsia" w:ascii="仿宋" w:hAnsi="仿宋" w:eastAsia="仿宋" w:cs="Arial"/>
          <w:sz w:val="32"/>
          <w:szCs w:val="32"/>
          <w:shd w:val="clear" w:color="auto" w:fill="FFFFFF"/>
        </w:rPr>
      </w:pPr>
      <w:r>
        <w:rPr>
          <w:rFonts w:hint="eastAsia" w:ascii="仿宋" w:hAnsi="仿宋" w:eastAsia="仿宋" w:cs="Arial"/>
          <w:sz w:val="32"/>
          <w:szCs w:val="32"/>
          <w:shd w:val="clear" w:color="auto" w:fill="FFFFFF"/>
          <w:lang w:eastAsia="zh-CN"/>
        </w:rPr>
        <w:t>部门整体支出绩效目标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1、总体目标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依法履行审计监督职责，大力推进审计全覆盖，推动中央和省重大政策贯彻落实，促进经济持续健康发展;提高财政资金使用效益、保障公共资金安全；控制政府性投资成本、规范管理、提高投资绩效。密切关注社会风险隐患，注重反映重点领域风险隐患，维护经济发展安全。加强对领导干部行使权力的制约和监督，推进党风廉政建设和反腐败工作。充分发挥审计在保障国家重大决策部署贯彻落实、维护国家经济安全、推动深化改革、促进依法治国、推进廉政建设中的作用。</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2、具体目标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default" w:ascii="仿宋" w:hAnsi="仿宋" w:eastAsia="仿宋" w:cs="Arial"/>
          <w:sz w:val="32"/>
          <w:szCs w:val="32"/>
          <w:shd w:val="clear" w:color="auto" w:fill="FFFFFF"/>
          <w:lang w:val="en-US" w:eastAsia="zh-CN"/>
        </w:rPr>
      </w:pPr>
      <w:r>
        <w:rPr>
          <w:rFonts w:hint="eastAsia" w:ascii="仿宋" w:hAnsi="仿宋" w:eastAsia="仿宋" w:cs="Arial"/>
          <w:sz w:val="32"/>
          <w:szCs w:val="32"/>
          <w:shd w:val="clear" w:color="auto" w:fill="FFFFFF"/>
          <w:lang w:val="en-US" w:eastAsia="zh-CN"/>
        </w:rPr>
        <w:t>2021年根据上级审计机关的统一部署和县委、县政府的领导，</w:t>
      </w:r>
      <w:r>
        <w:rPr>
          <w:rFonts w:hint="eastAsia" w:ascii="仿宋_GB2312" w:eastAsia="仿宋_GB2312"/>
          <w:sz w:val="32"/>
          <w:szCs w:val="32"/>
        </w:rPr>
        <w:t>认真落实中央经济工作会议及全国、全省、全市审计工作会议精神，紧紧围绕县委县政府工作中心，按照高质量发展要求，依法全面履行审计监督职责，</w:t>
      </w:r>
      <w:r>
        <w:rPr>
          <w:rFonts w:hint="eastAsia" w:ascii="仿宋" w:hAnsi="仿宋" w:eastAsia="仿宋" w:cs="Arial"/>
          <w:sz w:val="32"/>
          <w:szCs w:val="32"/>
          <w:shd w:val="clear" w:color="auto" w:fill="FFFFFF"/>
          <w:lang w:val="en-US" w:eastAsia="zh-CN"/>
        </w:rPr>
        <w:t>全年完成6大类29个审计项目。</w:t>
      </w:r>
    </w:p>
    <w:p>
      <w:pPr>
        <w:ind w:firstLine="642" w:firstLineChars="200"/>
        <w:rPr>
          <w:rFonts w:ascii="仿宋" w:hAnsi="仿宋" w:eastAsia="仿宋"/>
          <w:b/>
          <w:sz w:val="32"/>
          <w:szCs w:val="32"/>
        </w:rPr>
      </w:pPr>
      <w:r>
        <w:rPr>
          <w:rFonts w:hint="eastAsia" w:ascii="仿宋" w:hAnsi="仿宋" w:eastAsia="仿宋"/>
          <w:b/>
          <w:sz w:val="32"/>
          <w:szCs w:val="32"/>
        </w:rPr>
        <w:t>二、部门整体支出情况</w:t>
      </w:r>
    </w:p>
    <w:p>
      <w:pPr>
        <w:ind w:firstLine="640" w:firstLineChars="200"/>
        <w:rPr>
          <w:rFonts w:hint="eastAsia" w:ascii="仿宋" w:hAnsi="仿宋" w:eastAsia="仿宋"/>
          <w:sz w:val="32"/>
          <w:szCs w:val="32"/>
        </w:rPr>
      </w:pPr>
      <w:r>
        <w:rPr>
          <w:rFonts w:hint="eastAsia" w:ascii="仿宋" w:hAnsi="仿宋" w:eastAsia="仿宋"/>
          <w:sz w:val="32"/>
          <w:szCs w:val="32"/>
        </w:rPr>
        <w:t>（一）预算收入情况</w:t>
      </w:r>
    </w:p>
    <w:p>
      <w:pPr>
        <w:tabs>
          <w:tab w:val="left" w:pos="1260"/>
        </w:tabs>
        <w:ind w:firstLine="640" w:firstLineChars="200"/>
        <w:rPr>
          <w:rFonts w:hint="default"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预算</w:t>
      </w:r>
      <w:r>
        <w:rPr>
          <w:rFonts w:hint="eastAsia" w:ascii="仿宋" w:hAnsi="仿宋" w:eastAsia="仿宋"/>
          <w:sz w:val="32"/>
          <w:szCs w:val="32"/>
        </w:rPr>
        <w:t>收入</w:t>
      </w:r>
      <w:r>
        <w:rPr>
          <w:rFonts w:hint="eastAsia" w:ascii="仿宋" w:hAnsi="仿宋" w:eastAsia="仿宋"/>
          <w:sz w:val="32"/>
          <w:szCs w:val="32"/>
          <w:lang w:val="en-US" w:eastAsia="zh-CN"/>
        </w:rPr>
        <w:t>4861730.35</w:t>
      </w:r>
      <w:r>
        <w:rPr>
          <w:rFonts w:hint="eastAsia" w:ascii="仿宋" w:hAnsi="仿宋" w:eastAsia="仿宋"/>
          <w:sz w:val="32"/>
          <w:szCs w:val="32"/>
        </w:rPr>
        <w:t>，基本支出</w:t>
      </w:r>
      <w:r>
        <w:rPr>
          <w:rFonts w:hint="eastAsia" w:ascii="仿宋" w:hAnsi="仿宋" w:eastAsia="仿宋"/>
          <w:sz w:val="32"/>
          <w:szCs w:val="32"/>
          <w:lang w:val="en-US" w:eastAsia="zh-CN"/>
        </w:rPr>
        <w:t>3496730.35元，</w:t>
      </w:r>
      <w:r>
        <w:rPr>
          <w:rFonts w:hint="eastAsia" w:ascii="仿宋" w:hAnsi="仿宋" w:eastAsia="仿宋"/>
          <w:sz w:val="32"/>
          <w:szCs w:val="32"/>
        </w:rPr>
        <w:t>其中</w:t>
      </w:r>
      <w:r>
        <w:rPr>
          <w:rFonts w:hint="eastAsia" w:ascii="仿宋" w:hAnsi="仿宋" w:eastAsia="仿宋"/>
          <w:sz w:val="32"/>
          <w:szCs w:val="32"/>
          <w:lang w:eastAsia="zh-CN"/>
        </w:rPr>
        <w:t>人员经费</w:t>
      </w:r>
      <w:r>
        <w:rPr>
          <w:rFonts w:hint="eastAsia" w:ascii="仿宋" w:hAnsi="仿宋" w:eastAsia="仿宋"/>
          <w:sz w:val="32"/>
          <w:szCs w:val="32"/>
          <w:lang w:val="en-US" w:eastAsia="zh-CN"/>
        </w:rPr>
        <w:t>3102930.35</w:t>
      </w:r>
      <w:r>
        <w:rPr>
          <w:rFonts w:hint="eastAsia" w:ascii="仿宋" w:hAnsi="仿宋" w:eastAsia="仿宋"/>
          <w:sz w:val="32"/>
          <w:szCs w:val="32"/>
        </w:rPr>
        <w:t>元，公用经费</w:t>
      </w:r>
      <w:r>
        <w:rPr>
          <w:rFonts w:hint="eastAsia" w:ascii="仿宋" w:hAnsi="仿宋" w:eastAsia="仿宋"/>
          <w:sz w:val="32"/>
          <w:szCs w:val="32"/>
          <w:lang w:val="en-US" w:eastAsia="zh-CN"/>
        </w:rPr>
        <w:t>393800</w:t>
      </w:r>
      <w:r>
        <w:rPr>
          <w:rFonts w:hint="eastAsia" w:ascii="仿宋" w:hAnsi="仿宋" w:eastAsia="仿宋"/>
          <w:sz w:val="32"/>
          <w:szCs w:val="32"/>
        </w:rPr>
        <w:t>元；项目支出</w:t>
      </w:r>
      <w:r>
        <w:rPr>
          <w:rFonts w:hint="eastAsia" w:ascii="仿宋" w:hAnsi="仿宋" w:eastAsia="仿宋"/>
          <w:sz w:val="32"/>
          <w:szCs w:val="32"/>
          <w:lang w:val="en-US" w:eastAsia="zh-CN"/>
        </w:rPr>
        <w:t>1165000</w:t>
      </w:r>
      <w:r>
        <w:rPr>
          <w:rFonts w:hint="eastAsia" w:ascii="仿宋" w:hAnsi="仿宋" w:eastAsia="仿宋"/>
          <w:sz w:val="32"/>
          <w:szCs w:val="32"/>
        </w:rPr>
        <w:t>元，</w:t>
      </w:r>
      <w:r>
        <w:rPr>
          <w:rFonts w:hint="eastAsia" w:ascii="仿宋" w:hAnsi="仿宋" w:eastAsia="仿宋"/>
          <w:sz w:val="32"/>
          <w:szCs w:val="32"/>
          <w:lang w:eastAsia="zh-CN"/>
        </w:rPr>
        <w:t>其中投资审计工程审核费</w:t>
      </w:r>
      <w:r>
        <w:rPr>
          <w:rFonts w:hint="eastAsia" w:ascii="仿宋" w:hAnsi="仿宋" w:eastAsia="仿宋"/>
          <w:sz w:val="32"/>
          <w:szCs w:val="32"/>
          <w:lang w:val="en-US" w:eastAsia="zh-CN"/>
        </w:rPr>
        <w:t>600000元，</w:t>
      </w:r>
      <w:r>
        <w:rPr>
          <w:rFonts w:hint="eastAsia" w:ascii="仿宋" w:hAnsi="仿宋" w:eastAsia="仿宋"/>
          <w:sz w:val="32"/>
          <w:szCs w:val="32"/>
        </w:rPr>
        <w:t>审计业务</w:t>
      </w:r>
      <w:r>
        <w:rPr>
          <w:rFonts w:hint="eastAsia" w:ascii="仿宋" w:hAnsi="仿宋" w:eastAsia="仿宋"/>
          <w:sz w:val="32"/>
          <w:szCs w:val="32"/>
          <w:lang w:eastAsia="zh-CN"/>
        </w:rPr>
        <w:t>经</w:t>
      </w:r>
      <w:r>
        <w:rPr>
          <w:rFonts w:hint="eastAsia" w:ascii="仿宋" w:hAnsi="仿宋" w:eastAsia="仿宋"/>
          <w:sz w:val="32"/>
          <w:szCs w:val="32"/>
        </w:rPr>
        <w:t>费</w:t>
      </w:r>
      <w:r>
        <w:rPr>
          <w:rFonts w:hint="eastAsia" w:ascii="仿宋" w:hAnsi="仿宋" w:eastAsia="仿宋"/>
          <w:sz w:val="32"/>
          <w:szCs w:val="32"/>
          <w:lang w:val="en-US" w:eastAsia="zh-CN"/>
        </w:rPr>
        <w:t>400000</w:t>
      </w:r>
      <w:r>
        <w:rPr>
          <w:rFonts w:hint="eastAsia" w:ascii="仿宋" w:hAnsi="仿宋" w:eastAsia="仿宋"/>
          <w:sz w:val="32"/>
          <w:szCs w:val="32"/>
        </w:rPr>
        <w:t>元</w:t>
      </w:r>
      <w:r>
        <w:rPr>
          <w:rFonts w:hint="eastAsia" w:ascii="仿宋" w:hAnsi="仿宋" w:eastAsia="仿宋"/>
          <w:sz w:val="32"/>
          <w:szCs w:val="32"/>
          <w:lang w:eastAsia="zh-CN"/>
        </w:rPr>
        <w:t>，乡村振兴帮扶保障</w:t>
      </w:r>
      <w:r>
        <w:rPr>
          <w:rFonts w:hint="eastAsia" w:ascii="仿宋" w:hAnsi="仿宋" w:eastAsia="仿宋"/>
          <w:sz w:val="32"/>
          <w:szCs w:val="32"/>
          <w:lang w:val="en-US" w:eastAsia="zh-CN"/>
        </w:rPr>
        <w:t>25000元，</w:t>
      </w:r>
      <w:r>
        <w:rPr>
          <w:rFonts w:hint="eastAsia" w:ascii="仿宋" w:hAnsi="仿宋" w:eastAsia="仿宋"/>
          <w:sz w:val="32"/>
          <w:szCs w:val="32"/>
          <w:lang w:eastAsia="zh-CN"/>
        </w:rPr>
        <w:t>办公用房维修项目</w:t>
      </w:r>
      <w:r>
        <w:rPr>
          <w:rFonts w:hint="eastAsia" w:ascii="仿宋" w:hAnsi="仿宋" w:eastAsia="仿宋"/>
          <w:sz w:val="32"/>
          <w:szCs w:val="32"/>
          <w:lang w:val="en-US" w:eastAsia="zh-CN"/>
        </w:rPr>
        <w:t>140000元；上级补助经费200000元。</w:t>
      </w:r>
    </w:p>
    <w:p>
      <w:pPr>
        <w:ind w:firstLine="640" w:firstLineChars="200"/>
        <w:rPr>
          <w:rFonts w:hint="eastAsia" w:ascii="仿宋" w:hAnsi="仿宋" w:eastAsia="仿宋"/>
          <w:sz w:val="32"/>
          <w:szCs w:val="32"/>
        </w:rPr>
      </w:pPr>
      <w:r>
        <w:rPr>
          <w:rFonts w:hint="eastAsia" w:ascii="仿宋" w:hAnsi="仿宋" w:eastAsia="仿宋"/>
          <w:sz w:val="32"/>
          <w:szCs w:val="32"/>
        </w:rPr>
        <w:t>（二）预算支出情况</w:t>
      </w:r>
    </w:p>
    <w:p>
      <w:pPr>
        <w:tabs>
          <w:tab w:val="left" w:pos="1260"/>
        </w:tabs>
        <w:ind w:firstLine="640" w:firstLineChars="200"/>
        <w:rPr>
          <w:rFonts w:hint="default"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年支出</w:t>
      </w:r>
      <w:r>
        <w:rPr>
          <w:rFonts w:hint="eastAsia" w:ascii="仿宋" w:hAnsi="仿宋" w:eastAsia="仿宋"/>
          <w:sz w:val="32"/>
          <w:szCs w:val="32"/>
          <w:lang w:val="en-US" w:eastAsia="zh-CN"/>
        </w:rPr>
        <w:t>4513106元</w:t>
      </w:r>
      <w:r>
        <w:rPr>
          <w:rFonts w:hint="eastAsia" w:ascii="仿宋" w:hAnsi="仿宋" w:eastAsia="仿宋"/>
          <w:sz w:val="32"/>
          <w:szCs w:val="32"/>
        </w:rPr>
        <w:t>，基本支出</w:t>
      </w:r>
      <w:r>
        <w:rPr>
          <w:rFonts w:hint="eastAsia" w:ascii="仿宋" w:hAnsi="仿宋" w:eastAsia="仿宋"/>
          <w:sz w:val="32"/>
          <w:szCs w:val="32"/>
          <w:lang w:val="en-US" w:eastAsia="zh-CN"/>
        </w:rPr>
        <w:t>3600511.73元，</w:t>
      </w:r>
      <w:r>
        <w:rPr>
          <w:rFonts w:hint="eastAsia" w:ascii="仿宋" w:hAnsi="仿宋" w:eastAsia="仿宋"/>
          <w:sz w:val="32"/>
          <w:szCs w:val="32"/>
        </w:rPr>
        <w:t>其中工资</w:t>
      </w:r>
      <w:r>
        <w:rPr>
          <w:rFonts w:hint="eastAsia" w:ascii="仿宋" w:hAnsi="仿宋" w:eastAsia="仿宋"/>
          <w:sz w:val="32"/>
          <w:szCs w:val="32"/>
          <w:lang w:eastAsia="zh-CN"/>
        </w:rPr>
        <w:t>福利支出</w:t>
      </w:r>
      <w:r>
        <w:rPr>
          <w:rFonts w:hint="eastAsia" w:ascii="仿宋" w:hAnsi="仿宋" w:eastAsia="仿宋"/>
          <w:sz w:val="32"/>
          <w:szCs w:val="32"/>
          <w:lang w:val="en-US" w:eastAsia="zh-CN"/>
        </w:rPr>
        <w:t>3226519.95</w:t>
      </w:r>
      <w:r>
        <w:rPr>
          <w:rFonts w:hint="eastAsia" w:ascii="仿宋" w:hAnsi="仿宋" w:eastAsia="仿宋"/>
          <w:sz w:val="32"/>
          <w:szCs w:val="32"/>
        </w:rPr>
        <w:t>元，公用经费</w:t>
      </w:r>
      <w:r>
        <w:rPr>
          <w:rFonts w:hint="eastAsia" w:ascii="仿宋" w:hAnsi="仿宋" w:eastAsia="仿宋"/>
          <w:sz w:val="32"/>
          <w:szCs w:val="32"/>
          <w:lang w:val="en-US" w:eastAsia="zh-CN"/>
        </w:rPr>
        <w:t>373991.78</w:t>
      </w:r>
      <w:r>
        <w:rPr>
          <w:rFonts w:hint="eastAsia" w:ascii="仿宋" w:hAnsi="仿宋" w:eastAsia="仿宋"/>
          <w:sz w:val="32"/>
          <w:szCs w:val="32"/>
        </w:rPr>
        <w:t>元；项目支出</w:t>
      </w:r>
      <w:r>
        <w:rPr>
          <w:rFonts w:hint="eastAsia" w:ascii="仿宋" w:hAnsi="仿宋" w:eastAsia="仿宋"/>
          <w:sz w:val="32"/>
          <w:szCs w:val="32"/>
          <w:lang w:val="en-US" w:eastAsia="zh-CN"/>
        </w:rPr>
        <w:t>854645.12</w:t>
      </w:r>
      <w:r>
        <w:rPr>
          <w:rFonts w:hint="eastAsia" w:ascii="仿宋" w:hAnsi="仿宋" w:eastAsia="仿宋"/>
          <w:sz w:val="32"/>
          <w:szCs w:val="32"/>
        </w:rPr>
        <w:t>元，其中</w:t>
      </w:r>
      <w:r>
        <w:rPr>
          <w:rFonts w:hint="eastAsia" w:ascii="仿宋" w:hAnsi="仿宋" w:eastAsia="仿宋"/>
          <w:sz w:val="32"/>
          <w:szCs w:val="32"/>
          <w:lang w:val="en-US" w:eastAsia="zh-CN"/>
        </w:rPr>
        <w:t>投资审计工程造价审核费360916元，</w:t>
      </w:r>
      <w:r>
        <w:rPr>
          <w:rFonts w:hint="eastAsia" w:ascii="仿宋" w:hAnsi="仿宋" w:eastAsia="仿宋"/>
          <w:sz w:val="32"/>
          <w:szCs w:val="32"/>
        </w:rPr>
        <w:t>审计业务</w:t>
      </w:r>
      <w:r>
        <w:rPr>
          <w:rFonts w:hint="eastAsia" w:ascii="仿宋" w:hAnsi="仿宋" w:eastAsia="仿宋"/>
          <w:sz w:val="32"/>
          <w:szCs w:val="32"/>
          <w:lang w:eastAsia="zh-CN"/>
        </w:rPr>
        <w:t>经</w:t>
      </w:r>
      <w:r>
        <w:rPr>
          <w:rFonts w:hint="eastAsia" w:ascii="仿宋" w:hAnsi="仿宋" w:eastAsia="仿宋"/>
          <w:sz w:val="32"/>
          <w:szCs w:val="32"/>
        </w:rPr>
        <w:t>费</w:t>
      </w:r>
      <w:r>
        <w:rPr>
          <w:rFonts w:hint="eastAsia" w:ascii="仿宋" w:hAnsi="仿宋" w:eastAsia="仿宋"/>
          <w:sz w:val="32"/>
          <w:szCs w:val="32"/>
          <w:lang w:val="en-US" w:eastAsia="zh-CN"/>
        </w:rPr>
        <w:t>327638.9</w:t>
      </w:r>
      <w:r>
        <w:rPr>
          <w:rFonts w:hint="eastAsia" w:ascii="仿宋" w:hAnsi="仿宋" w:eastAsia="仿宋"/>
          <w:sz w:val="32"/>
          <w:szCs w:val="32"/>
        </w:rPr>
        <w:t>元，</w:t>
      </w:r>
      <w:r>
        <w:rPr>
          <w:rFonts w:hint="eastAsia" w:ascii="仿宋" w:hAnsi="仿宋" w:eastAsia="仿宋"/>
          <w:sz w:val="32"/>
          <w:szCs w:val="32"/>
          <w:lang w:eastAsia="zh-CN"/>
        </w:rPr>
        <w:t>乡村振兴帮扶保障</w:t>
      </w:r>
      <w:r>
        <w:rPr>
          <w:rFonts w:hint="eastAsia" w:ascii="仿宋" w:hAnsi="仿宋" w:eastAsia="仿宋"/>
          <w:sz w:val="32"/>
          <w:szCs w:val="32"/>
          <w:lang w:val="en-US" w:eastAsia="zh-CN"/>
        </w:rPr>
        <w:t>25000元，</w:t>
      </w:r>
      <w:r>
        <w:rPr>
          <w:rFonts w:hint="eastAsia" w:ascii="仿宋" w:hAnsi="仿宋" w:eastAsia="仿宋"/>
          <w:sz w:val="32"/>
          <w:szCs w:val="32"/>
          <w:lang w:eastAsia="zh-CN"/>
        </w:rPr>
        <w:t>办公用房维修项目</w:t>
      </w:r>
      <w:r>
        <w:rPr>
          <w:rFonts w:hint="eastAsia" w:ascii="仿宋" w:hAnsi="仿宋" w:eastAsia="仿宋"/>
          <w:sz w:val="32"/>
          <w:szCs w:val="32"/>
          <w:lang w:val="en-US" w:eastAsia="zh-CN"/>
        </w:rPr>
        <w:t>140000元，基层审计机关基础设施维修1090.22元，上级补助经费57950</w:t>
      </w:r>
      <w:r>
        <w:rPr>
          <w:rFonts w:hint="eastAsia" w:ascii="仿宋" w:hAnsi="仿宋" w:eastAsia="仿宋"/>
          <w:sz w:val="32"/>
          <w:szCs w:val="32"/>
        </w:rPr>
        <w:t>元</w:t>
      </w:r>
      <w:r>
        <w:rPr>
          <w:rFonts w:hint="eastAsia" w:ascii="仿宋" w:hAnsi="仿宋" w:eastAsia="仿宋"/>
          <w:sz w:val="32"/>
          <w:szCs w:val="32"/>
          <w:lang w:val="en-US" w:eastAsia="zh-CN"/>
        </w:rPr>
        <w:t>。</w:t>
      </w:r>
    </w:p>
    <w:p>
      <w:pPr>
        <w:ind w:firstLine="640" w:firstLineChars="200"/>
        <w:rPr>
          <w:rFonts w:hint="eastAsia" w:ascii="仿宋" w:hAnsi="仿宋" w:eastAsia="仿宋"/>
          <w:sz w:val="32"/>
          <w:szCs w:val="32"/>
        </w:rPr>
      </w:pPr>
      <w:r>
        <w:rPr>
          <w:rFonts w:hint="eastAsia" w:ascii="仿宋" w:hAnsi="仿宋" w:eastAsia="仿宋"/>
          <w:sz w:val="32"/>
          <w:szCs w:val="32"/>
        </w:rPr>
        <w:t>（三）结余情况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年结余</w:t>
      </w:r>
      <w:r>
        <w:rPr>
          <w:rFonts w:hint="eastAsia" w:ascii="仿宋" w:hAnsi="仿宋" w:eastAsia="仿宋"/>
          <w:sz w:val="32"/>
          <w:szCs w:val="32"/>
          <w:lang w:val="en-US" w:eastAsia="zh-CN"/>
        </w:rPr>
        <w:t>902875.93</w:t>
      </w:r>
      <w:r>
        <w:rPr>
          <w:rFonts w:hint="eastAsia" w:ascii="仿宋" w:hAnsi="仿宋" w:eastAsia="仿宋"/>
          <w:sz w:val="32"/>
          <w:szCs w:val="32"/>
        </w:rPr>
        <w:t>元，其中基本支出结转</w:t>
      </w:r>
      <w:r>
        <w:rPr>
          <w:rFonts w:hint="eastAsia" w:ascii="仿宋" w:hAnsi="仿宋" w:eastAsia="仿宋"/>
          <w:sz w:val="32"/>
          <w:szCs w:val="32"/>
          <w:lang w:val="en-US" w:eastAsia="zh-CN"/>
        </w:rPr>
        <w:t>30730.72</w:t>
      </w:r>
      <w:r>
        <w:rPr>
          <w:rFonts w:hint="eastAsia" w:ascii="仿宋" w:hAnsi="仿宋" w:eastAsia="仿宋"/>
          <w:sz w:val="32"/>
          <w:szCs w:val="32"/>
        </w:rPr>
        <w:t>元，项目支出</w:t>
      </w:r>
      <w:r>
        <w:rPr>
          <w:rFonts w:hint="eastAsia" w:ascii="仿宋" w:hAnsi="仿宋" w:eastAsia="仿宋"/>
          <w:sz w:val="32"/>
          <w:szCs w:val="32"/>
          <w:lang w:eastAsia="zh-CN"/>
        </w:rPr>
        <w:t>结转</w:t>
      </w:r>
      <w:r>
        <w:rPr>
          <w:rFonts w:hint="eastAsia" w:ascii="仿宋" w:hAnsi="仿宋" w:eastAsia="仿宋"/>
          <w:sz w:val="32"/>
          <w:szCs w:val="32"/>
          <w:lang w:val="en-US" w:eastAsia="zh-CN"/>
        </w:rPr>
        <w:t>431399.21</w:t>
      </w:r>
      <w:r>
        <w:rPr>
          <w:rFonts w:hint="eastAsia" w:ascii="仿宋" w:hAnsi="仿宋" w:eastAsia="仿宋"/>
          <w:sz w:val="32"/>
          <w:szCs w:val="32"/>
        </w:rPr>
        <w:t>元</w:t>
      </w:r>
      <w:r>
        <w:rPr>
          <w:rFonts w:hint="eastAsia" w:ascii="仿宋" w:hAnsi="仿宋" w:eastAsia="仿宋"/>
          <w:sz w:val="32"/>
          <w:szCs w:val="32"/>
          <w:lang w:eastAsia="zh-CN"/>
        </w:rPr>
        <w:t>，其他资金结转</w:t>
      </w:r>
      <w:r>
        <w:rPr>
          <w:rFonts w:hint="eastAsia" w:ascii="仿宋" w:hAnsi="仿宋" w:eastAsia="仿宋"/>
          <w:sz w:val="32"/>
          <w:szCs w:val="32"/>
          <w:lang w:val="en-US" w:eastAsia="zh-CN"/>
        </w:rPr>
        <w:t>440746元</w:t>
      </w:r>
      <w:r>
        <w:rPr>
          <w:rFonts w:hint="eastAsia" w:ascii="仿宋" w:hAnsi="仿宋" w:eastAsia="仿宋"/>
          <w:sz w:val="32"/>
          <w:szCs w:val="32"/>
        </w:rPr>
        <w:t>。</w:t>
      </w:r>
    </w:p>
    <w:p>
      <w:pPr>
        <w:tabs>
          <w:tab w:val="center" w:pos="4473"/>
        </w:tabs>
        <w:ind w:firstLine="640" w:firstLineChars="200"/>
        <w:rPr>
          <w:rFonts w:hint="eastAsia" w:ascii="仿宋" w:hAnsi="仿宋" w:eastAsia="仿宋"/>
          <w:sz w:val="32"/>
          <w:szCs w:val="32"/>
        </w:rPr>
      </w:pPr>
      <w:r>
        <w:rPr>
          <w:rFonts w:hint="eastAsia" w:ascii="仿宋" w:hAnsi="仿宋" w:eastAsia="仿宋"/>
          <w:sz w:val="32"/>
          <w:szCs w:val="32"/>
        </w:rPr>
        <w:t>（四）专项资金收支情况</w:t>
      </w:r>
    </w:p>
    <w:p>
      <w:pPr>
        <w:tabs>
          <w:tab w:val="center" w:pos="4473"/>
        </w:tabs>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本年度无上级专项资金</w:t>
      </w:r>
      <w:r>
        <w:rPr>
          <w:rFonts w:hint="eastAsia" w:ascii="仿宋" w:hAnsi="仿宋" w:eastAsia="仿宋"/>
          <w:sz w:val="32"/>
          <w:szCs w:val="32"/>
          <w:lang w:val="en-US" w:eastAsia="zh-CN"/>
        </w:rPr>
        <w:t>。</w:t>
      </w:r>
    </w:p>
    <w:p>
      <w:pPr>
        <w:tabs>
          <w:tab w:val="center" w:pos="4473"/>
        </w:tabs>
        <w:ind w:firstLine="642" w:firstLineChars="200"/>
        <w:rPr>
          <w:rFonts w:ascii="仿宋" w:hAnsi="仿宋" w:eastAsia="仿宋"/>
          <w:b/>
          <w:sz w:val="32"/>
          <w:szCs w:val="32"/>
        </w:rPr>
      </w:pPr>
      <w:r>
        <w:rPr>
          <w:rFonts w:hint="eastAsia" w:ascii="仿宋_GB2312" w:hAnsi="Arial" w:eastAsia="仿宋_GB2312" w:cs="Arial"/>
          <w:b/>
          <w:sz w:val="32"/>
          <w:szCs w:val="32"/>
          <w:shd w:val="clear" w:color="auto" w:fill="FFFFFF"/>
        </w:rPr>
        <w:t>三、</w:t>
      </w:r>
      <w:r>
        <w:rPr>
          <w:rFonts w:hint="eastAsia" w:ascii="仿宋" w:hAnsi="仿宋" w:eastAsia="仿宋" w:cs="Arial"/>
          <w:b/>
          <w:sz w:val="32"/>
          <w:szCs w:val="32"/>
          <w:shd w:val="clear" w:color="auto" w:fill="FFFFFF"/>
        </w:rPr>
        <w:t>部门整体支出绩效情况（对各指标计算并用文字进</w:t>
      </w:r>
    </w:p>
    <w:p>
      <w:pPr>
        <w:pStyle w:val="11"/>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 w:hAnsi="仿宋" w:eastAsia="仿宋" w:cs="Arial"/>
          <w:b/>
          <w:sz w:val="32"/>
          <w:szCs w:val="32"/>
          <w:shd w:val="clear" w:color="auto" w:fill="FFFFFF"/>
        </w:rPr>
        <w:t>行绩效分析。</w:t>
      </w:r>
      <w:r>
        <w:rPr>
          <w:rFonts w:hint="eastAsia" w:ascii="仿宋" w:hAnsi="仿宋" w:eastAsia="仿宋"/>
          <w:b/>
          <w:sz w:val="32"/>
          <w:szCs w:val="32"/>
        </w:rPr>
        <w:t>其中，指标可量化的用数值描述，不可量化的以定性描述。）</w:t>
      </w:r>
    </w:p>
    <w:p>
      <w:pPr>
        <w:pStyle w:val="11"/>
        <w:numPr>
          <w:ilvl w:val="0"/>
          <w:numId w:val="2"/>
        </w:numPr>
        <w:spacing w:before="0" w:beforeAutospacing="0" w:after="0" w:afterAutospacing="0" w:line="578" w:lineRule="atLeas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预算配置</w:t>
      </w:r>
    </w:p>
    <w:p>
      <w:pPr>
        <w:pStyle w:val="11"/>
        <w:spacing w:before="0" w:beforeAutospacing="0" w:after="0" w:afterAutospacing="0" w:line="48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、在职人员控制率：</w:t>
      </w:r>
    </w:p>
    <w:p>
      <w:pPr>
        <w:tabs>
          <w:tab w:val="left" w:pos="1260"/>
        </w:tabs>
        <w:ind w:firstLine="640" w:firstLineChars="200"/>
        <w:rPr>
          <w:rFonts w:hint="eastAsia" w:ascii="仿宋" w:hAnsi="仿宋" w:eastAsia="仿宋"/>
          <w:sz w:val="32"/>
          <w:szCs w:val="32"/>
        </w:rPr>
      </w:pPr>
      <w:r>
        <w:rPr>
          <w:rFonts w:hint="eastAsia" w:ascii="仿宋" w:hAnsi="仿宋" w:eastAsia="仿宋"/>
          <w:sz w:val="32"/>
          <w:szCs w:val="32"/>
        </w:rPr>
        <w:t>本年度编制数3</w:t>
      </w:r>
      <w:r>
        <w:rPr>
          <w:rFonts w:hint="eastAsia" w:ascii="仿宋" w:hAnsi="仿宋" w:eastAsia="仿宋"/>
          <w:sz w:val="32"/>
          <w:szCs w:val="32"/>
          <w:lang w:val="en-US" w:eastAsia="zh-CN"/>
        </w:rPr>
        <w:t>4</w:t>
      </w:r>
      <w:r>
        <w:rPr>
          <w:rFonts w:hint="eastAsia" w:ascii="仿宋" w:hAnsi="仿宋" w:eastAsia="仿宋"/>
          <w:sz w:val="32"/>
          <w:szCs w:val="32"/>
        </w:rPr>
        <w:t>人，实有3</w:t>
      </w:r>
      <w:r>
        <w:rPr>
          <w:rFonts w:hint="eastAsia" w:ascii="仿宋" w:hAnsi="仿宋" w:eastAsia="仿宋"/>
          <w:sz w:val="32"/>
          <w:szCs w:val="32"/>
          <w:lang w:val="en-US" w:eastAsia="zh-CN"/>
        </w:rPr>
        <w:t>1</w:t>
      </w:r>
      <w:r>
        <w:rPr>
          <w:rFonts w:hint="eastAsia" w:ascii="仿宋" w:hAnsi="仿宋" w:eastAsia="仿宋"/>
          <w:sz w:val="32"/>
          <w:szCs w:val="32"/>
        </w:rPr>
        <w:t>人，在职人员控制率=（在职人员数/编制数）×100%=（3</w:t>
      </w:r>
      <w:r>
        <w:rPr>
          <w:rFonts w:hint="eastAsia" w:ascii="仿宋" w:hAnsi="仿宋" w:eastAsia="仿宋"/>
          <w:sz w:val="32"/>
          <w:szCs w:val="32"/>
          <w:lang w:val="en-US" w:eastAsia="zh-CN"/>
        </w:rPr>
        <w:t>1</w:t>
      </w:r>
      <w:r>
        <w:rPr>
          <w:rFonts w:hint="eastAsia" w:ascii="仿宋" w:hAnsi="仿宋" w:eastAsia="仿宋"/>
          <w:sz w:val="32"/>
          <w:szCs w:val="32"/>
        </w:rPr>
        <w:t>/3</w:t>
      </w:r>
      <w:r>
        <w:rPr>
          <w:rFonts w:hint="eastAsia" w:ascii="仿宋" w:hAnsi="仿宋" w:eastAsia="仿宋"/>
          <w:sz w:val="32"/>
          <w:szCs w:val="32"/>
          <w:lang w:val="en-US" w:eastAsia="zh-CN"/>
        </w:rPr>
        <w:t>4</w:t>
      </w:r>
      <w:r>
        <w:rPr>
          <w:rFonts w:hint="eastAsia" w:ascii="仿宋" w:hAnsi="仿宋" w:eastAsia="仿宋"/>
          <w:sz w:val="32"/>
          <w:szCs w:val="32"/>
        </w:rPr>
        <w:t>）×100%=</w:t>
      </w:r>
      <w:r>
        <w:rPr>
          <w:rFonts w:hint="eastAsia" w:ascii="仿宋" w:hAnsi="仿宋" w:eastAsia="仿宋"/>
          <w:sz w:val="32"/>
          <w:szCs w:val="32"/>
          <w:lang w:val="en-US" w:eastAsia="zh-CN"/>
        </w:rPr>
        <w:t>91</w:t>
      </w:r>
      <w:r>
        <w:rPr>
          <w:rFonts w:hint="eastAsia" w:ascii="仿宋" w:hAnsi="仿宋" w:eastAsia="仿宋"/>
          <w:sz w:val="32"/>
          <w:szCs w:val="32"/>
        </w:rPr>
        <w:t xml:space="preserve">%。 </w:t>
      </w:r>
    </w:p>
    <w:p>
      <w:pPr>
        <w:pStyle w:val="11"/>
        <w:spacing w:before="0" w:beforeAutospacing="0" w:after="0" w:afterAutospacing="0"/>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、“三公经费”变动率：</w:t>
      </w:r>
    </w:p>
    <w:p>
      <w:pPr>
        <w:tabs>
          <w:tab w:val="left" w:pos="1260"/>
        </w:tabs>
        <w:ind w:firstLine="640" w:firstLineChars="200"/>
        <w:rPr>
          <w:rFonts w:hint="eastAsia" w:ascii="仿宋" w:hAnsi="仿宋" w:eastAsia="仿宋"/>
          <w:sz w:val="32"/>
          <w:szCs w:val="32"/>
        </w:rPr>
      </w:pP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年三公经费预算数为</w:t>
      </w:r>
      <w:r>
        <w:rPr>
          <w:rFonts w:hint="eastAsia" w:ascii="仿宋" w:hAnsi="仿宋" w:eastAsia="仿宋"/>
          <w:sz w:val="32"/>
          <w:szCs w:val="32"/>
          <w:lang w:val="en-US" w:eastAsia="zh-CN"/>
        </w:rPr>
        <w:t>6</w:t>
      </w:r>
      <w:r>
        <w:rPr>
          <w:rFonts w:hint="eastAsia" w:ascii="仿宋" w:hAnsi="仿宋" w:eastAsia="仿宋"/>
          <w:sz w:val="32"/>
          <w:szCs w:val="32"/>
        </w:rPr>
        <w:t>000，20</w:t>
      </w:r>
      <w:r>
        <w:rPr>
          <w:rFonts w:hint="eastAsia" w:ascii="仿宋" w:hAnsi="仿宋" w:eastAsia="仿宋"/>
          <w:sz w:val="32"/>
          <w:szCs w:val="32"/>
          <w:lang w:val="en-US" w:eastAsia="zh-CN"/>
        </w:rPr>
        <w:t>20</w:t>
      </w:r>
      <w:r>
        <w:rPr>
          <w:rFonts w:hint="eastAsia" w:ascii="仿宋" w:hAnsi="仿宋" w:eastAsia="仿宋"/>
          <w:sz w:val="32"/>
          <w:szCs w:val="32"/>
        </w:rPr>
        <w:t>年三公经费预算数为</w:t>
      </w:r>
      <w:r>
        <w:rPr>
          <w:rFonts w:hint="eastAsia" w:ascii="仿宋" w:hAnsi="仿宋" w:eastAsia="仿宋"/>
          <w:sz w:val="32"/>
          <w:szCs w:val="32"/>
          <w:lang w:val="en-US" w:eastAsia="zh-CN"/>
        </w:rPr>
        <w:t>60</w:t>
      </w:r>
      <w:r>
        <w:rPr>
          <w:rFonts w:hint="eastAsia" w:ascii="仿宋" w:hAnsi="仿宋" w:eastAsia="仿宋"/>
          <w:sz w:val="32"/>
          <w:szCs w:val="32"/>
        </w:rPr>
        <w:t>00元，“三公经费”变动率</w:t>
      </w:r>
      <w:r>
        <w:rPr>
          <w:rFonts w:hint="eastAsia" w:ascii="仿宋" w:hAnsi="仿宋" w:eastAsia="仿宋"/>
          <w:sz w:val="32"/>
          <w:szCs w:val="32"/>
          <w:lang w:eastAsia="zh-CN"/>
        </w:rPr>
        <w:t>为</w:t>
      </w:r>
      <w:r>
        <w:rPr>
          <w:rFonts w:hint="eastAsia" w:ascii="仿宋" w:hAnsi="仿宋" w:eastAsia="仿宋"/>
          <w:sz w:val="32"/>
          <w:szCs w:val="32"/>
          <w:lang w:val="en-US" w:eastAsia="zh-CN"/>
        </w:rPr>
        <w:t>0</w:t>
      </w:r>
      <w:r>
        <w:rPr>
          <w:rFonts w:hint="eastAsia" w:ascii="仿宋" w:hAnsi="仿宋" w:eastAsia="仿宋"/>
          <w:sz w:val="32"/>
          <w:szCs w:val="32"/>
        </w:rPr>
        <w:t>。</w:t>
      </w:r>
    </w:p>
    <w:p>
      <w:pPr>
        <w:pStyle w:val="11"/>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（二）</w:t>
      </w:r>
      <w:r>
        <w:rPr>
          <w:rFonts w:hint="eastAsia" w:ascii="仿宋" w:hAnsi="仿宋" w:eastAsia="仿宋" w:cs="Arial"/>
          <w:sz w:val="32"/>
          <w:szCs w:val="32"/>
          <w:shd w:val="clear" w:color="auto" w:fill="FFFFFF"/>
        </w:rPr>
        <w:t>预算执行</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、预算完成率：</w:t>
      </w:r>
    </w:p>
    <w:p>
      <w:pPr>
        <w:pStyle w:val="11"/>
        <w:spacing w:before="0" w:beforeAutospacing="0" w:after="0" w:afterAutospacing="0" w:line="360" w:lineRule="auto"/>
        <w:ind w:firstLine="640" w:firstLineChars="200"/>
        <w:rPr>
          <w:rFonts w:hint="default" w:ascii="仿宋_GB2312" w:hAnsi="Arial" w:eastAsia="仿宋" w:cs="Arial"/>
          <w:sz w:val="32"/>
          <w:szCs w:val="32"/>
          <w:shd w:val="clear" w:color="auto" w:fill="FFFFFF"/>
          <w:lang w:val="en-US" w:eastAsia="zh-CN"/>
        </w:rPr>
      </w:pPr>
      <w:r>
        <w:rPr>
          <w:rFonts w:hint="eastAsia" w:ascii="仿宋_GB2312" w:hAnsi="Arial" w:eastAsia="仿宋_GB2312" w:cs="Arial"/>
          <w:sz w:val="32"/>
          <w:szCs w:val="32"/>
          <w:shd w:val="clear" w:color="auto" w:fill="FFFFFF"/>
        </w:rPr>
        <w:t>预算完成率</w:t>
      </w:r>
      <w:r>
        <w:rPr>
          <w:rFonts w:ascii="仿宋_GB2312" w:hAnsi="Arial" w:eastAsia="仿宋_GB2312" w:cs="Arial"/>
          <w:sz w:val="32"/>
          <w:szCs w:val="32"/>
          <w:shd w:val="clear" w:color="auto" w:fill="FFFFFF"/>
        </w:rPr>
        <w:t>=</w:t>
      </w:r>
      <w:r>
        <w:rPr>
          <w:rFonts w:ascii="仿宋" w:hAnsi="仿宋" w:eastAsia="仿宋" w:cs="Arial"/>
          <w:color w:val="auto"/>
          <w:sz w:val="32"/>
          <w:szCs w:val="32"/>
          <w:shd w:val="clear" w:color="auto" w:fill="FFFFFF"/>
        </w:rPr>
        <w:t xml:space="preserve"> [</w:t>
      </w:r>
      <w:r>
        <w:rPr>
          <w:rFonts w:hint="eastAsia" w:ascii="仿宋" w:hAnsi="仿宋" w:eastAsia="仿宋" w:cs="Arial"/>
          <w:color w:val="auto"/>
          <w:sz w:val="32"/>
          <w:szCs w:val="32"/>
          <w:shd w:val="clear" w:color="auto" w:fill="FFFFFF"/>
        </w:rPr>
        <w:t>（上年结转</w:t>
      </w:r>
      <w:r>
        <w:rPr>
          <w:rFonts w:hint="eastAsia" w:ascii="仿宋" w:hAnsi="仿宋" w:eastAsia="仿宋" w:cs="Arial"/>
          <w:color w:val="auto"/>
          <w:sz w:val="32"/>
          <w:szCs w:val="32"/>
          <w:shd w:val="clear" w:color="auto" w:fill="FFFFFF"/>
          <w:lang w:val="en-US" w:eastAsia="zh-CN"/>
        </w:rPr>
        <w:t>554252.43</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w:t>
      </w:r>
      <w:r>
        <w:rPr>
          <w:rFonts w:hint="eastAsia" w:ascii="仿宋" w:hAnsi="仿宋" w:eastAsia="仿宋" w:cs="Arial"/>
          <w:color w:val="auto"/>
          <w:sz w:val="32"/>
          <w:szCs w:val="32"/>
          <w:shd w:val="clear" w:color="auto" w:fill="FFFFFF"/>
          <w:lang w:val="en-US" w:eastAsia="zh-CN"/>
        </w:rPr>
        <w:t>4861730.35</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w:t>
      </w:r>
      <w:r>
        <w:rPr>
          <w:rFonts w:hint="eastAsia" w:ascii="仿宋" w:hAnsi="仿宋" w:eastAsia="仿宋" w:cs="Arial"/>
          <w:color w:val="auto"/>
          <w:sz w:val="32"/>
          <w:szCs w:val="32"/>
          <w:shd w:val="clear" w:color="auto" w:fill="FFFFFF"/>
          <w:lang w:val="en-US" w:eastAsia="zh-CN"/>
        </w:rPr>
        <w:t>0</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年末余额</w:t>
      </w:r>
      <w:r>
        <w:rPr>
          <w:rFonts w:hint="eastAsia" w:ascii="仿宋" w:hAnsi="仿宋" w:eastAsia="仿宋" w:cs="Arial"/>
          <w:color w:val="auto"/>
          <w:sz w:val="32"/>
          <w:szCs w:val="32"/>
          <w:shd w:val="clear" w:color="auto" w:fill="FFFFFF"/>
          <w:lang w:val="en-US" w:eastAsia="zh-CN"/>
        </w:rPr>
        <w:t>902875.93</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（上年结转</w:t>
      </w:r>
      <w:r>
        <w:rPr>
          <w:rFonts w:hint="eastAsia" w:ascii="仿宋" w:hAnsi="仿宋" w:eastAsia="仿宋" w:cs="Arial"/>
          <w:color w:val="auto"/>
          <w:sz w:val="32"/>
          <w:szCs w:val="32"/>
          <w:shd w:val="clear" w:color="auto" w:fill="FFFFFF"/>
          <w:lang w:val="en-US" w:eastAsia="zh-CN"/>
        </w:rPr>
        <w:t>554252.43</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w:t>
      </w:r>
      <w:r>
        <w:rPr>
          <w:rFonts w:hint="eastAsia" w:ascii="仿宋" w:hAnsi="仿宋" w:eastAsia="仿宋" w:cs="Arial"/>
          <w:color w:val="auto"/>
          <w:sz w:val="32"/>
          <w:szCs w:val="32"/>
          <w:shd w:val="clear" w:color="auto" w:fill="FFFFFF"/>
          <w:lang w:val="en-US" w:eastAsia="zh-CN"/>
        </w:rPr>
        <w:t>4861730.35</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本年追加预算</w:t>
      </w:r>
      <w:r>
        <w:rPr>
          <w:rFonts w:hint="eastAsia" w:ascii="仿宋" w:hAnsi="仿宋" w:eastAsia="仿宋" w:cs="Arial"/>
          <w:color w:val="auto"/>
          <w:sz w:val="32"/>
          <w:szCs w:val="32"/>
          <w:shd w:val="clear" w:color="auto" w:fill="FFFFFF"/>
          <w:lang w:val="en-US" w:eastAsia="zh-CN"/>
        </w:rPr>
        <w:t>0</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]*100%</w:t>
      </w:r>
      <w:r>
        <w:rPr>
          <w:rFonts w:hint="eastAsia" w:ascii="仿宋" w:hAnsi="仿宋" w:eastAsia="仿宋" w:cs="Arial"/>
          <w:color w:val="auto"/>
          <w:sz w:val="32"/>
          <w:szCs w:val="32"/>
          <w:shd w:val="clear" w:color="auto" w:fill="FFFFFF"/>
          <w:lang w:val="en-US" w:eastAsia="zh-CN"/>
        </w:rPr>
        <w:t>=83%</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、预算控制率：</w:t>
      </w:r>
    </w:p>
    <w:p>
      <w:pPr>
        <w:pStyle w:val="11"/>
        <w:spacing w:before="0" w:beforeAutospacing="0" w:after="0" w:afterAutospacing="0" w:line="360" w:lineRule="auto"/>
        <w:ind w:firstLine="640" w:firstLineChars="200"/>
        <w:rPr>
          <w:rFonts w:ascii="仿宋" w:hAnsi="仿宋" w:eastAsia="仿宋" w:cs="Arial"/>
          <w:color w:val="auto"/>
          <w:sz w:val="32"/>
          <w:szCs w:val="32"/>
          <w:shd w:val="clear" w:color="auto" w:fill="FFFFFF"/>
        </w:rPr>
      </w:pPr>
      <w:r>
        <w:rPr>
          <w:rFonts w:hint="eastAsia" w:ascii="仿宋_GB2312" w:hAnsi="Arial" w:eastAsia="仿宋_GB2312" w:cs="Arial"/>
          <w:sz w:val="32"/>
          <w:szCs w:val="32"/>
          <w:shd w:val="clear" w:color="auto" w:fill="FFFFFF"/>
        </w:rPr>
        <w:t>预算控制率</w:t>
      </w:r>
      <w:r>
        <w:rPr>
          <w:rFonts w:ascii="仿宋_GB2312" w:hAnsi="Arial" w:eastAsia="仿宋_GB2312" w:cs="Arial"/>
          <w:sz w:val="32"/>
          <w:szCs w:val="32"/>
          <w:shd w:val="clear" w:color="auto" w:fill="FFFFFF"/>
        </w:rPr>
        <w:t>=</w:t>
      </w:r>
      <w:r>
        <w:rPr>
          <w:rFonts w:hint="eastAsia" w:ascii="仿宋" w:hAnsi="仿宋" w:eastAsia="仿宋" w:cs="Arial"/>
          <w:color w:val="auto"/>
          <w:sz w:val="32"/>
          <w:szCs w:val="32"/>
          <w:shd w:val="clear" w:color="auto" w:fill="FFFFFF"/>
        </w:rPr>
        <w:t>（本年追加预算</w:t>
      </w:r>
      <w:r>
        <w:rPr>
          <w:rFonts w:hint="eastAsia" w:ascii="仿宋" w:hAnsi="仿宋" w:eastAsia="仿宋" w:cs="Arial"/>
          <w:color w:val="auto"/>
          <w:sz w:val="32"/>
          <w:szCs w:val="32"/>
          <w:shd w:val="clear" w:color="auto" w:fill="FFFFFF"/>
          <w:lang w:val="en-US" w:eastAsia="zh-CN"/>
        </w:rPr>
        <w:t>0</w:t>
      </w:r>
      <w:r>
        <w:rPr>
          <w:rFonts w:ascii="仿宋" w:hAnsi="仿宋" w:eastAsia="仿宋" w:cs="Arial"/>
          <w:color w:val="auto"/>
          <w:sz w:val="32"/>
          <w:szCs w:val="32"/>
          <w:shd w:val="clear" w:color="auto" w:fill="FFFFFF"/>
        </w:rPr>
        <w:t>/</w:t>
      </w:r>
      <w:r>
        <w:rPr>
          <w:rFonts w:hint="eastAsia" w:ascii="仿宋" w:hAnsi="仿宋" w:eastAsia="仿宋" w:cs="Arial"/>
          <w:color w:val="auto"/>
          <w:sz w:val="32"/>
          <w:szCs w:val="32"/>
          <w:shd w:val="clear" w:color="auto" w:fill="FFFFFF"/>
        </w:rPr>
        <w:t>年初预算</w:t>
      </w:r>
      <w:r>
        <w:rPr>
          <w:rFonts w:hint="eastAsia" w:ascii="仿宋" w:hAnsi="仿宋" w:eastAsia="仿宋" w:cs="Arial"/>
          <w:color w:val="auto"/>
          <w:sz w:val="32"/>
          <w:szCs w:val="32"/>
          <w:shd w:val="clear" w:color="auto" w:fill="FFFFFF"/>
          <w:lang w:val="en-US" w:eastAsia="zh-CN"/>
        </w:rPr>
        <w:t>4861730.35</w:t>
      </w:r>
      <w:r>
        <w:rPr>
          <w:rFonts w:hint="eastAsia" w:ascii="仿宋" w:hAnsi="仿宋" w:eastAsia="仿宋" w:cs="Arial"/>
          <w:color w:val="auto"/>
          <w:sz w:val="32"/>
          <w:szCs w:val="32"/>
          <w:shd w:val="clear" w:color="auto" w:fill="FFFFFF"/>
        </w:rPr>
        <w:t>）</w:t>
      </w:r>
      <w:r>
        <w:rPr>
          <w:rFonts w:ascii="仿宋" w:hAnsi="仿宋" w:eastAsia="仿宋" w:cs="Arial"/>
          <w:color w:val="auto"/>
          <w:sz w:val="32"/>
          <w:szCs w:val="32"/>
          <w:shd w:val="clear" w:color="auto" w:fill="FFFFFF"/>
        </w:rPr>
        <w:t xml:space="preserve">*100% </w:t>
      </w:r>
      <w:r>
        <w:rPr>
          <w:rFonts w:hint="eastAsia" w:ascii="仿宋" w:hAnsi="仿宋" w:eastAsia="仿宋" w:cs="Arial"/>
          <w:color w:val="auto"/>
          <w:sz w:val="32"/>
          <w:szCs w:val="32"/>
          <w:shd w:val="clear" w:color="auto" w:fill="FFFFFF"/>
          <w:lang w:val="en-US" w:eastAsia="zh-CN"/>
        </w:rPr>
        <w:t>=0%</w:t>
      </w:r>
      <w:r>
        <w:rPr>
          <w:rFonts w:ascii="仿宋" w:hAnsi="仿宋" w:eastAsia="仿宋" w:cs="Arial"/>
          <w:color w:val="auto"/>
          <w:sz w:val="32"/>
          <w:szCs w:val="32"/>
          <w:shd w:val="clear" w:color="auto" w:fill="FFFFFF"/>
        </w:rPr>
        <w:t xml:space="preserve">  </w:t>
      </w:r>
    </w:p>
    <w:p>
      <w:pPr>
        <w:pStyle w:val="11"/>
        <w:spacing w:before="0" w:beforeAutospacing="0" w:after="0" w:afterAutospacing="0" w:line="360" w:lineRule="auto"/>
        <w:ind w:firstLine="640" w:firstLineChars="200"/>
        <w:rPr>
          <w:rFonts w:ascii="仿宋" w:hAnsi="仿宋" w:eastAsia="仿宋" w:cs="Arial"/>
          <w:color w:val="auto"/>
          <w:sz w:val="32"/>
          <w:szCs w:val="32"/>
          <w:shd w:val="clear" w:color="auto" w:fill="FFFFFF"/>
        </w:rPr>
      </w:pPr>
      <w:r>
        <w:rPr>
          <w:rFonts w:ascii="仿宋_GB2312" w:hAnsi="Arial" w:eastAsia="仿宋_GB2312" w:cs="Arial"/>
          <w:sz w:val="32"/>
          <w:szCs w:val="32"/>
          <w:shd w:val="clear" w:color="auto" w:fill="FFFFFF"/>
        </w:rPr>
        <w:t>3</w:t>
      </w:r>
      <w:r>
        <w:rPr>
          <w:rFonts w:hint="eastAsia" w:ascii="仿宋_GB2312" w:hAnsi="Arial" w:eastAsia="仿宋_GB2312" w:cs="Arial"/>
          <w:sz w:val="32"/>
          <w:szCs w:val="32"/>
          <w:shd w:val="clear" w:color="auto" w:fill="FFFFFF"/>
        </w:rPr>
        <w:t>、“三公经费”控制率：</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lang w:val="en-US" w:eastAsia="zh-CN"/>
        </w:rPr>
      </w:pPr>
      <w:r>
        <w:rPr>
          <w:rFonts w:hint="eastAsia" w:ascii="仿宋_GB2312" w:hAnsi="Arial" w:eastAsia="仿宋_GB2312" w:cs="Arial"/>
          <w:sz w:val="32"/>
          <w:szCs w:val="32"/>
          <w:shd w:val="clear" w:color="auto" w:fill="FFFFFF"/>
        </w:rPr>
        <w:t>“三公经费”控制率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（“三公经费”实际支出数</w:t>
      </w:r>
      <w:r>
        <w:rPr>
          <w:rFonts w:hint="eastAsia" w:ascii="仿宋_GB2312" w:hAnsi="Arial" w:eastAsia="仿宋_GB2312" w:cs="Arial"/>
          <w:sz w:val="32"/>
          <w:szCs w:val="32"/>
          <w:shd w:val="clear" w:color="auto" w:fill="FFFFFF"/>
          <w:lang w:val="en-US" w:eastAsia="zh-CN"/>
        </w:rPr>
        <w:t>0</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“三公经费”预算安排数</w:t>
      </w:r>
      <w:r>
        <w:rPr>
          <w:rFonts w:hint="eastAsia" w:ascii="仿宋_GB2312" w:hAnsi="Arial" w:eastAsia="仿宋_GB2312" w:cs="Arial"/>
          <w:sz w:val="32"/>
          <w:szCs w:val="32"/>
          <w:shd w:val="clear" w:color="auto" w:fill="FFFFFF"/>
          <w:lang w:val="en-US" w:eastAsia="zh-CN"/>
        </w:rPr>
        <w:t>6000</w:t>
      </w:r>
      <w:r>
        <w:rPr>
          <w:rFonts w:hint="eastAsia" w:ascii="仿宋_GB2312" w:hAnsi="Arial" w:eastAsia="仿宋_GB2312" w:cs="Arial"/>
          <w:sz w:val="32"/>
          <w:szCs w:val="32"/>
          <w:shd w:val="clear" w:color="auto" w:fill="FFFFFF"/>
        </w:rPr>
        <w:t>）×</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=0</w:t>
      </w:r>
    </w:p>
    <w:p>
      <w:pPr>
        <w:pStyle w:val="11"/>
        <w:spacing w:before="0" w:beforeAutospacing="0" w:after="0" w:afterAutospacing="0" w:line="360" w:lineRule="auto"/>
        <w:ind w:firstLine="640" w:firstLineChars="200"/>
        <w:rPr>
          <w:rFonts w:hint="default" w:ascii="仿宋_GB2312" w:hAnsi="Arial" w:eastAsia="仿宋_GB2312" w:cs="Arial"/>
          <w:sz w:val="32"/>
          <w:szCs w:val="32"/>
          <w:shd w:val="clear" w:color="auto" w:fill="FFFFFF"/>
          <w:lang w:val="en-US" w:eastAsia="zh-CN"/>
        </w:rPr>
      </w:pPr>
      <w:r>
        <w:rPr>
          <w:rFonts w:hint="eastAsia" w:ascii="仿宋_GB2312" w:hAnsi="Arial" w:eastAsia="仿宋_GB2312" w:cs="Arial"/>
          <w:sz w:val="32"/>
          <w:szCs w:val="32"/>
          <w:shd w:val="clear" w:color="auto" w:fill="FFFFFF"/>
          <w:lang w:val="en-US" w:eastAsia="zh-CN"/>
        </w:rPr>
        <w:t>本年度发生“三公经费”支出4730元。</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4</w:t>
      </w:r>
      <w:r>
        <w:rPr>
          <w:rFonts w:hint="eastAsia" w:ascii="仿宋_GB2312" w:hAnsi="Arial" w:eastAsia="仿宋_GB2312" w:cs="Arial"/>
          <w:sz w:val="32"/>
          <w:szCs w:val="32"/>
          <w:shd w:val="clear" w:color="auto" w:fill="FFFFFF"/>
        </w:rPr>
        <w:t>、公用经费控制率：</w:t>
      </w:r>
    </w:p>
    <w:p>
      <w:pPr>
        <w:pStyle w:val="11"/>
        <w:spacing w:before="0" w:beforeAutospacing="0" w:after="0" w:afterAutospacing="0" w:line="360" w:lineRule="auto"/>
        <w:ind w:firstLine="640" w:firstLineChars="200"/>
        <w:rPr>
          <w:rFonts w:hint="default" w:ascii="仿宋_GB2312" w:hAnsi="Arial" w:eastAsia="仿宋_GB2312" w:cs="Arial"/>
          <w:sz w:val="32"/>
          <w:szCs w:val="32"/>
          <w:shd w:val="clear" w:color="auto" w:fill="FFFFFF"/>
          <w:lang w:val="en-US" w:eastAsia="zh-CN"/>
        </w:rPr>
      </w:pPr>
      <w:r>
        <w:rPr>
          <w:rFonts w:hint="eastAsia" w:ascii="仿宋_GB2312" w:hAnsi="Arial" w:eastAsia="仿宋_GB2312" w:cs="Arial"/>
          <w:sz w:val="32"/>
          <w:szCs w:val="32"/>
          <w:shd w:val="clear" w:color="auto" w:fill="FFFFFF"/>
        </w:rPr>
        <w:t>公用经费控制率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（实际支出公用经费总额</w:t>
      </w:r>
      <w:r>
        <w:rPr>
          <w:rFonts w:hint="eastAsia" w:ascii="仿宋_GB2312" w:hAnsi="Arial" w:eastAsia="仿宋_GB2312" w:cs="Arial"/>
          <w:sz w:val="32"/>
          <w:szCs w:val="32"/>
          <w:shd w:val="clear" w:color="auto" w:fill="FFFFFF"/>
          <w:lang w:val="en-US" w:eastAsia="zh-CN"/>
        </w:rPr>
        <w:t>373991</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预算安排公用经费总额</w:t>
      </w:r>
      <w:r>
        <w:rPr>
          <w:rFonts w:hint="eastAsia" w:ascii="仿宋_GB2312" w:hAnsi="Arial" w:eastAsia="仿宋_GB2312" w:cs="Arial"/>
          <w:sz w:val="32"/>
          <w:szCs w:val="32"/>
          <w:shd w:val="clear" w:color="auto" w:fill="FFFFFF"/>
          <w:lang w:val="en-US" w:eastAsia="zh-CN"/>
        </w:rPr>
        <w:t>393800</w:t>
      </w:r>
      <w:r>
        <w:rPr>
          <w:rFonts w:hint="eastAsia" w:ascii="仿宋_GB2312" w:hAnsi="Arial" w:eastAsia="仿宋_GB2312" w:cs="Arial"/>
          <w:sz w:val="32"/>
          <w:szCs w:val="32"/>
          <w:shd w:val="clear" w:color="auto" w:fill="FFFFFF"/>
        </w:rPr>
        <w:t>）×</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=94%</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5</w:t>
      </w:r>
      <w:r>
        <w:rPr>
          <w:rFonts w:hint="eastAsia" w:ascii="仿宋_GB2312" w:hAnsi="Arial" w:eastAsia="仿宋_GB2312" w:cs="Arial"/>
          <w:sz w:val="32"/>
          <w:szCs w:val="32"/>
          <w:shd w:val="clear" w:color="auto" w:fill="FFFFFF"/>
        </w:rPr>
        <w:t>、政府采购执行率：</w:t>
      </w:r>
    </w:p>
    <w:p>
      <w:pPr>
        <w:pStyle w:val="11"/>
        <w:spacing w:before="0" w:beforeAutospacing="0" w:after="0" w:afterAutospacing="0" w:line="360" w:lineRule="auto"/>
        <w:ind w:firstLine="640" w:firstLineChars="200"/>
        <w:rPr>
          <w:rFonts w:hint="default" w:ascii="仿宋_GB2312" w:hAnsi="Arial" w:eastAsia="仿宋_GB2312" w:cs="Arial"/>
          <w:sz w:val="32"/>
          <w:szCs w:val="32"/>
          <w:shd w:val="clear" w:color="auto" w:fill="FFFFFF"/>
          <w:lang w:val="en-US" w:eastAsia="zh-CN"/>
        </w:rPr>
      </w:pPr>
      <w:r>
        <w:rPr>
          <w:rFonts w:hint="eastAsia" w:ascii="仿宋_GB2312" w:hAnsi="Arial" w:eastAsia="仿宋_GB2312" w:cs="Arial"/>
          <w:sz w:val="32"/>
          <w:szCs w:val="32"/>
          <w:shd w:val="clear" w:color="auto" w:fill="FFFFFF"/>
        </w:rPr>
        <w:t>政府采购执行率</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（实际政府采购金额</w:t>
      </w:r>
      <w:r>
        <w:rPr>
          <w:rFonts w:hint="eastAsia" w:ascii="仿宋_GB2312" w:hAnsi="Arial" w:eastAsia="仿宋_GB2312" w:cs="Arial"/>
          <w:sz w:val="32"/>
          <w:szCs w:val="32"/>
          <w:shd w:val="clear" w:color="auto" w:fill="FFFFFF"/>
          <w:lang w:val="en-US" w:eastAsia="zh-CN"/>
        </w:rPr>
        <w:t>261121</w:t>
      </w:r>
      <w:r>
        <w:rPr>
          <w:rFonts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rPr>
        <w:t>政府采购预算数</w:t>
      </w:r>
      <w:r>
        <w:rPr>
          <w:rFonts w:hint="eastAsia" w:ascii="仿宋_GB2312" w:hAnsi="Arial" w:eastAsia="仿宋_GB2312" w:cs="Arial"/>
          <w:sz w:val="32"/>
          <w:szCs w:val="32"/>
          <w:shd w:val="clear" w:color="auto" w:fill="FFFFFF"/>
          <w:lang w:val="en-US" w:eastAsia="zh-CN"/>
        </w:rPr>
        <w:t>273400</w:t>
      </w:r>
      <w:r>
        <w:rPr>
          <w:rFonts w:hint="eastAsia" w:ascii="仿宋_GB2312" w:hAnsi="Arial" w:eastAsia="仿宋_GB2312" w:cs="Arial"/>
          <w:sz w:val="32"/>
          <w:szCs w:val="32"/>
          <w:shd w:val="clear" w:color="auto" w:fill="FFFFFF"/>
        </w:rPr>
        <w:t>）×</w:t>
      </w:r>
      <w:r>
        <w:rPr>
          <w:rFonts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=95.5%</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（三）预算管理</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1</w:t>
      </w:r>
      <w:r>
        <w:rPr>
          <w:rFonts w:hint="eastAsia" w:ascii="仿宋_GB2312" w:hAnsi="Arial" w:eastAsia="仿宋_GB2312" w:cs="Arial"/>
          <w:sz w:val="32"/>
          <w:szCs w:val="32"/>
          <w:shd w:val="clear" w:color="auto" w:fill="FFFFFF"/>
        </w:rPr>
        <w:t>、资金使用合规性：</w:t>
      </w:r>
    </w:p>
    <w:p>
      <w:pPr>
        <w:tabs>
          <w:tab w:val="left" w:pos="1260"/>
        </w:tabs>
        <w:ind w:firstLine="640" w:firstLineChars="200"/>
        <w:rPr>
          <w:rFonts w:hint="eastAsia" w:ascii="仿宋" w:hAnsi="仿宋" w:eastAsia="仿宋"/>
          <w:sz w:val="32"/>
          <w:szCs w:val="32"/>
        </w:rPr>
      </w:pPr>
      <w:r>
        <w:rPr>
          <w:rFonts w:hint="eastAsia" w:ascii="仿宋" w:hAnsi="仿宋" w:eastAsia="仿宋"/>
          <w:sz w:val="32"/>
          <w:szCs w:val="32"/>
        </w:rPr>
        <w:t>本年度我单位支出的所有资金均符合财政相关规定，按照财政部门要求以及单位内部制定的制度进行审批支付，支出过程中，严把报账手续，严格控制现金使用，各项资金严格按照预算批复的用途使用，保障单位整体支出规范化、制度化，资金使用无截留、挤占、挪用、虚列支出等情况。</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2</w:t>
      </w:r>
      <w:r>
        <w:rPr>
          <w:rFonts w:hint="eastAsia" w:ascii="仿宋_GB2312" w:hAnsi="Arial" w:eastAsia="仿宋_GB2312" w:cs="Arial"/>
          <w:sz w:val="32"/>
          <w:szCs w:val="32"/>
          <w:shd w:val="clear" w:color="auto" w:fill="FFFFFF"/>
        </w:rPr>
        <w:t>、预决算信息公开性：</w:t>
      </w:r>
    </w:p>
    <w:p>
      <w:pPr>
        <w:tabs>
          <w:tab w:val="left" w:pos="1260"/>
        </w:tabs>
        <w:ind w:firstLine="640" w:firstLineChars="200"/>
        <w:rPr>
          <w:rFonts w:hint="eastAsia" w:ascii="仿宋" w:hAnsi="仿宋" w:eastAsia="仿宋"/>
          <w:sz w:val="32"/>
          <w:szCs w:val="32"/>
        </w:rPr>
      </w:pPr>
      <w:r>
        <w:rPr>
          <w:rFonts w:hint="eastAsia" w:ascii="仿宋_GB2312" w:hAnsi="Arial" w:eastAsia="仿宋_GB2312" w:cs="Arial"/>
          <w:sz w:val="32"/>
          <w:szCs w:val="32"/>
          <w:shd w:val="clear" w:color="auto" w:fill="FFFFFF"/>
          <w:lang w:eastAsia="zh-CN"/>
        </w:rPr>
        <w:t>我单位</w:t>
      </w:r>
      <w:r>
        <w:rPr>
          <w:rFonts w:hint="eastAsia" w:ascii="仿宋" w:hAnsi="仿宋" w:eastAsia="仿宋"/>
          <w:sz w:val="32"/>
          <w:szCs w:val="32"/>
        </w:rPr>
        <w:t>按照</w:t>
      </w:r>
      <w:r>
        <w:rPr>
          <w:rFonts w:hint="eastAsia" w:ascii="仿宋" w:hAnsi="仿宋" w:eastAsia="仿宋"/>
          <w:sz w:val="32"/>
          <w:szCs w:val="32"/>
          <w:lang w:eastAsia="zh-CN"/>
        </w:rPr>
        <w:t>政府</w:t>
      </w:r>
      <w:r>
        <w:rPr>
          <w:rFonts w:hint="eastAsia" w:ascii="仿宋" w:hAnsi="仿宋" w:eastAsia="仿宋"/>
          <w:sz w:val="32"/>
          <w:szCs w:val="32"/>
        </w:rPr>
        <w:t>信息公开的有关规定，在</w:t>
      </w:r>
      <w:r>
        <w:rPr>
          <w:rFonts w:hint="eastAsia" w:ascii="仿宋" w:hAnsi="仿宋" w:eastAsia="仿宋"/>
          <w:sz w:val="32"/>
          <w:szCs w:val="32"/>
          <w:lang w:eastAsia="zh-CN"/>
        </w:rPr>
        <w:t>万荣</w:t>
      </w:r>
      <w:r>
        <w:rPr>
          <w:rFonts w:hint="eastAsia" w:ascii="仿宋" w:hAnsi="仿宋" w:eastAsia="仿宋"/>
          <w:sz w:val="32"/>
          <w:szCs w:val="32"/>
        </w:rPr>
        <w:t>县</w:t>
      </w:r>
      <w:r>
        <w:rPr>
          <w:rFonts w:hint="eastAsia" w:ascii="仿宋" w:hAnsi="仿宋" w:eastAsia="仿宋"/>
          <w:sz w:val="32"/>
          <w:szCs w:val="32"/>
          <w:lang w:eastAsia="zh-CN"/>
        </w:rPr>
        <w:t>人民</w:t>
      </w:r>
      <w:r>
        <w:rPr>
          <w:rFonts w:hint="eastAsia" w:ascii="仿宋" w:hAnsi="仿宋" w:eastAsia="仿宋"/>
          <w:sz w:val="32"/>
          <w:szCs w:val="32"/>
        </w:rPr>
        <w:t>政府网站</w:t>
      </w:r>
      <w:r>
        <w:rPr>
          <w:rFonts w:hint="eastAsia" w:ascii="仿宋" w:hAnsi="仿宋" w:eastAsia="仿宋"/>
          <w:sz w:val="32"/>
          <w:szCs w:val="32"/>
          <w:lang w:eastAsia="zh-CN"/>
        </w:rPr>
        <w:t>于</w:t>
      </w:r>
      <w:r>
        <w:rPr>
          <w:rFonts w:hint="eastAsia" w:ascii="仿宋" w:hAnsi="仿宋" w:eastAsia="仿宋"/>
          <w:sz w:val="32"/>
          <w:szCs w:val="32"/>
          <w:lang w:val="en-US" w:eastAsia="zh-CN"/>
        </w:rPr>
        <w:t>2021年4月26日对</w:t>
      </w:r>
      <w:r>
        <w:rPr>
          <w:rFonts w:hint="eastAsia" w:ascii="仿宋" w:hAnsi="仿宋" w:eastAsia="仿宋"/>
          <w:sz w:val="32"/>
          <w:szCs w:val="32"/>
        </w:rPr>
        <w:t>20</w:t>
      </w:r>
      <w:r>
        <w:rPr>
          <w:rFonts w:hint="eastAsia" w:ascii="仿宋" w:hAnsi="仿宋" w:eastAsia="仿宋"/>
          <w:sz w:val="32"/>
          <w:szCs w:val="32"/>
          <w:lang w:val="en-US" w:eastAsia="zh-CN"/>
        </w:rPr>
        <w:t>21</w:t>
      </w:r>
      <w:r>
        <w:rPr>
          <w:rFonts w:hint="eastAsia" w:ascii="仿宋" w:hAnsi="仿宋" w:eastAsia="仿宋"/>
          <w:sz w:val="32"/>
          <w:szCs w:val="32"/>
        </w:rPr>
        <w:t>年</w:t>
      </w:r>
      <w:r>
        <w:rPr>
          <w:rFonts w:hint="eastAsia" w:ascii="仿宋" w:hAnsi="仿宋" w:eastAsia="仿宋"/>
          <w:sz w:val="32"/>
          <w:szCs w:val="32"/>
          <w:lang w:eastAsia="zh-CN"/>
        </w:rPr>
        <w:t>部门</w:t>
      </w:r>
      <w:r>
        <w:rPr>
          <w:rFonts w:hint="eastAsia" w:ascii="仿宋" w:hAnsi="仿宋" w:eastAsia="仿宋"/>
          <w:sz w:val="32"/>
          <w:szCs w:val="32"/>
        </w:rPr>
        <w:t>预算和</w:t>
      </w:r>
      <w:r>
        <w:rPr>
          <w:rFonts w:hint="eastAsia" w:ascii="仿宋" w:hAnsi="仿宋" w:eastAsia="仿宋"/>
          <w:sz w:val="32"/>
          <w:szCs w:val="32"/>
          <w:lang w:val="en-US" w:eastAsia="zh-CN"/>
        </w:rPr>
        <w:t>9月2日对</w:t>
      </w: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eastAsia="zh-CN"/>
        </w:rPr>
        <w:t>部门</w:t>
      </w:r>
      <w:r>
        <w:rPr>
          <w:rFonts w:hint="eastAsia" w:ascii="仿宋" w:hAnsi="仿宋" w:eastAsia="仿宋"/>
          <w:sz w:val="32"/>
          <w:szCs w:val="32"/>
        </w:rPr>
        <w:t>决算信息按规定的要求和时限进行公开。</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3</w:t>
      </w:r>
      <w:r>
        <w:rPr>
          <w:rFonts w:hint="eastAsia" w:ascii="仿宋_GB2312" w:hAnsi="Arial" w:eastAsia="仿宋_GB2312" w:cs="Arial"/>
          <w:sz w:val="32"/>
          <w:szCs w:val="32"/>
          <w:shd w:val="clear" w:color="auto" w:fill="FFFFFF"/>
        </w:rPr>
        <w:t>、管理制度健全性：</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lang w:eastAsia="zh-CN"/>
        </w:rPr>
        <w:t>按照内部控制制度的相关规定，</w:t>
      </w:r>
      <w:r>
        <w:rPr>
          <w:rFonts w:hint="eastAsia" w:ascii="仿宋_GB2312" w:hAnsi="Arial" w:eastAsia="仿宋_GB2312" w:cs="Arial"/>
          <w:sz w:val="32"/>
          <w:szCs w:val="32"/>
          <w:shd w:val="clear" w:color="auto" w:fill="FFFFFF"/>
        </w:rPr>
        <w:t>为加强预算管理、规范财务行为制定</w:t>
      </w:r>
      <w:r>
        <w:rPr>
          <w:rFonts w:hint="eastAsia" w:ascii="仿宋_GB2312" w:hAnsi="Arial" w:eastAsia="仿宋_GB2312" w:cs="Arial"/>
          <w:sz w:val="32"/>
          <w:szCs w:val="32"/>
          <w:shd w:val="clear" w:color="auto" w:fill="FFFFFF"/>
          <w:lang w:eastAsia="zh-CN"/>
        </w:rPr>
        <w:t>了</w:t>
      </w:r>
      <w:r>
        <w:rPr>
          <w:rFonts w:hint="eastAsia" w:ascii="仿宋_GB2312" w:hAnsi="Arial" w:eastAsia="仿宋_GB2312" w:cs="Arial"/>
          <w:sz w:val="32"/>
          <w:szCs w:val="32"/>
          <w:shd w:val="clear" w:color="auto" w:fill="FFFFFF"/>
        </w:rPr>
        <w:t>预算资金管理办法、内部财务管理制度、会计核算制度等管理制度</w:t>
      </w:r>
      <w:r>
        <w:rPr>
          <w:rFonts w:hint="eastAsia" w:ascii="仿宋_GB2312" w:hAnsi="Arial" w:eastAsia="仿宋_GB2312" w:cs="Arial"/>
          <w:sz w:val="32"/>
          <w:szCs w:val="32"/>
          <w:shd w:val="clear" w:color="auto" w:fill="FFFFFF"/>
          <w:lang w:eastAsia="zh-CN"/>
        </w:rPr>
        <w:t>，</w:t>
      </w:r>
      <w:r>
        <w:rPr>
          <w:rFonts w:hint="eastAsia" w:ascii="仿宋_GB2312" w:hAnsi="Arial" w:eastAsia="仿宋_GB2312" w:cs="Arial"/>
          <w:sz w:val="32"/>
          <w:szCs w:val="32"/>
          <w:shd w:val="clear" w:color="auto" w:fill="FFFFFF"/>
        </w:rPr>
        <w:t>相关管理制度是合法、合规、完整</w:t>
      </w:r>
      <w:r>
        <w:rPr>
          <w:rFonts w:hint="eastAsia" w:ascii="仿宋_GB2312" w:hAnsi="Arial" w:eastAsia="仿宋_GB2312" w:cs="Arial"/>
          <w:sz w:val="32"/>
          <w:szCs w:val="32"/>
          <w:shd w:val="clear" w:color="auto" w:fill="FFFFFF"/>
          <w:lang w:eastAsia="zh-CN"/>
        </w:rPr>
        <w:t>并</w:t>
      </w:r>
      <w:r>
        <w:rPr>
          <w:rFonts w:hint="eastAsia" w:ascii="仿宋_GB2312" w:hAnsi="Arial" w:eastAsia="仿宋_GB2312" w:cs="Arial"/>
          <w:sz w:val="32"/>
          <w:szCs w:val="32"/>
          <w:shd w:val="clear" w:color="auto" w:fill="FFFFFF"/>
        </w:rPr>
        <w:t>得到有效执行。</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（四）资产管理</w:t>
      </w:r>
    </w:p>
    <w:p>
      <w:pPr>
        <w:tabs>
          <w:tab w:val="left" w:pos="1260"/>
        </w:tabs>
        <w:ind w:firstLine="640" w:firstLineChars="200"/>
        <w:rPr>
          <w:rFonts w:hint="eastAsia" w:ascii="仿宋" w:hAnsi="仿宋" w:eastAsia="仿宋"/>
          <w:sz w:val="32"/>
          <w:szCs w:val="32"/>
        </w:rPr>
      </w:pPr>
      <w:r>
        <w:rPr>
          <w:rFonts w:hint="eastAsia" w:ascii="仿宋" w:hAnsi="仿宋" w:eastAsia="仿宋"/>
          <w:sz w:val="32"/>
          <w:szCs w:val="32"/>
        </w:rPr>
        <w:t>1、资产管理完整性</w:t>
      </w:r>
    </w:p>
    <w:p>
      <w:pPr>
        <w:tabs>
          <w:tab w:val="left" w:pos="1260"/>
        </w:tabs>
        <w:ind w:firstLine="640" w:firstLineChars="200"/>
        <w:rPr>
          <w:rFonts w:hint="eastAsia" w:ascii="仿宋" w:hAnsi="仿宋" w:eastAsia="仿宋"/>
          <w:sz w:val="32"/>
          <w:szCs w:val="32"/>
        </w:rPr>
      </w:pPr>
      <w:r>
        <w:rPr>
          <w:rFonts w:hint="eastAsia" w:ascii="仿宋" w:hAnsi="仿宋" w:eastAsia="仿宋"/>
          <w:sz w:val="32"/>
          <w:szCs w:val="32"/>
        </w:rPr>
        <w:t>按照单位资产管理制度的规定，对资产进行统一核算、管理，并将资产的保管责任明确到具体使用部门，建立资产明细账，确保账实相符，对处置的资产收入及时足额上缴。</w:t>
      </w:r>
    </w:p>
    <w:p>
      <w:pPr>
        <w:tabs>
          <w:tab w:val="left" w:pos="1260"/>
        </w:tabs>
        <w:ind w:firstLine="640" w:firstLineChars="200"/>
        <w:rPr>
          <w:rFonts w:hint="eastAsia" w:ascii="仿宋" w:hAnsi="仿宋" w:eastAsia="仿宋"/>
          <w:sz w:val="32"/>
          <w:szCs w:val="32"/>
        </w:rPr>
      </w:pPr>
      <w:r>
        <w:rPr>
          <w:rFonts w:hint="eastAsia" w:ascii="仿宋" w:hAnsi="仿宋" w:eastAsia="仿宋"/>
          <w:sz w:val="32"/>
          <w:szCs w:val="32"/>
        </w:rPr>
        <w:t>2、固定资产利用率</w:t>
      </w:r>
    </w:p>
    <w:p>
      <w:pPr>
        <w:tabs>
          <w:tab w:val="left" w:pos="1260"/>
        </w:tabs>
        <w:ind w:firstLine="640" w:firstLineChars="200"/>
        <w:rPr>
          <w:rFonts w:hint="eastAsia" w:ascii="仿宋" w:hAnsi="仿宋" w:eastAsia="仿宋"/>
          <w:sz w:val="32"/>
          <w:szCs w:val="32"/>
        </w:rPr>
      </w:pPr>
      <w:r>
        <w:rPr>
          <w:rFonts w:hint="eastAsia" w:ascii="仿宋" w:hAnsi="仿宋" w:eastAsia="仿宋"/>
          <w:sz w:val="32"/>
          <w:szCs w:val="32"/>
        </w:rPr>
        <w:t>固定资产利用率=（实际在用固定资产总额</w:t>
      </w:r>
      <w:r>
        <w:rPr>
          <w:rFonts w:hint="eastAsia" w:ascii="仿宋" w:hAnsi="仿宋" w:eastAsia="仿宋"/>
          <w:sz w:val="32"/>
          <w:szCs w:val="32"/>
          <w:lang w:val="en-US" w:eastAsia="zh-CN"/>
        </w:rPr>
        <w:t>3722973</w:t>
      </w:r>
      <w:r>
        <w:rPr>
          <w:rFonts w:hint="eastAsia" w:ascii="仿宋" w:hAnsi="仿宋" w:eastAsia="仿宋"/>
          <w:sz w:val="32"/>
          <w:szCs w:val="32"/>
        </w:rPr>
        <w:t>元/所有固定资产总额</w:t>
      </w:r>
      <w:r>
        <w:rPr>
          <w:rFonts w:hint="eastAsia" w:ascii="仿宋" w:hAnsi="仿宋" w:eastAsia="仿宋"/>
          <w:sz w:val="32"/>
          <w:szCs w:val="32"/>
          <w:lang w:val="en-US" w:eastAsia="zh-CN"/>
        </w:rPr>
        <w:t>3722973</w:t>
      </w:r>
      <w:r>
        <w:rPr>
          <w:rFonts w:hint="eastAsia" w:ascii="仿宋" w:hAnsi="仿宋" w:eastAsia="仿宋"/>
          <w:sz w:val="32"/>
          <w:szCs w:val="32"/>
        </w:rPr>
        <w:t>元）×100%=100%，我单位按照厉行节约、物尽其用的有原则，对资产进行定期清查，对报废的资产进行处置，提高资产的使用效率，保障资产的完整。</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（五）职责履行</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重点工作实际完成率：</w:t>
      </w:r>
    </w:p>
    <w:p>
      <w:pPr>
        <w:pStyle w:val="11"/>
        <w:spacing w:before="0" w:beforeAutospacing="0" w:after="0" w:afterAutospacing="0" w:line="360" w:lineRule="auto"/>
        <w:ind w:firstLine="640" w:firstLineChars="200"/>
        <w:rPr>
          <w:rFonts w:hint="eastAsia"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重点工作实际完成率=</w:t>
      </w:r>
      <w:r>
        <w:rPr>
          <w:rFonts w:hint="eastAsia" w:ascii="仿宋_GB2312" w:hAnsi="Arial" w:eastAsia="仿宋_GB2312" w:cs="Arial"/>
          <w:sz w:val="32"/>
          <w:szCs w:val="32"/>
          <w:shd w:val="clear" w:color="auto" w:fill="FFFFFF"/>
          <w:lang w:val="en-US" w:eastAsia="zh-CN"/>
        </w:rPr>
        <w:t>29</w:t>
      </w:r>
      <w:r>
        <w:rPr>
          <w:rFonts w:hint="eastAsia" w:ascii="仿宋_GB2312" w:hAnsi="Arial" w:eastAsia="仿宋_GB2312" w:cs="Arial"/>
          <w:sz w:val="32"/>
          <w:szCs w:val="32"/>
          <w:shd w:val="clear" w:color="auto" w:fill="FFFFFF"/>
        </w:rPr>
        <w:t>/</w:t>
      </w:r>
      <w:r>
        <w:rPr>
          <w:rFonts w:hint="eastAsia" w:ascii="仿宋_GB2312" w:hAnsi="Arial" w:eastAsia="仿宋_GB2312" w:cs="Arial"/>
          <w:sz w:val="32"/>
          <w:szCs w:val="32"/>
          <w:shd w:val="clear" w:color="auto" w:fill="FFFFFF"/>
          <w:lang w:val="en-US" w:eastAsia="zh-CN"/>
        </w:rPr>
        <w:t>30</w:t>
      </w:r>
      <w:r>
        <w:rPr>
          <w:rFonts w:hint="eastAsia" w:ascii="仿宋_GB2312" w:hAnsi="Arial" w:eastAsia="仿宋_GB2312" w:cs="Arial"/>
          <w:sz w:val="32"/>
          <w:szCs w:val="32"/>
          <w:shd w:val="clear" w:color="auto" w:fill="FFFFFF"/>
        </w:rPr>
        <w:t>×100%=</w:t>
      </w:r>
      <w:r>
        <w:rPr>
          <w:rFonts w:hint="eastAsia" w:ascii="仿宋_GB2312" w:hAnsi="Arial" w:eastAsia="仿宋_GB2312" w:cs="Arial"/>
          <w:sz w:val="32"/>
          <w:szCs w:val="32"/>
          <w:shd w:val="clear" w:color="auto" w:fill="FFFFFF"/>
          <w:lang w:val="en-US" w:eastAsia="zh-CN"/>
        </w:rPr>
        <w:t>96</w:t>
      </w:r>
      <w:r>
        <w:rPr>
          <w:rFonts w:hint="eastAsia" w:ascii="仿宋_GB2312" w:hAnsi="Arial" w:eastAsia="仿宋_GB2312" w:cs="Arial"/>
          <w:sz w:val="32"/>
          <w:szCs w:val="32"/>
          <w:shd w:val="clear" w:color="auto" w:fill="FFFFFF"/>
        </w:rPr>
        <w:t>%</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我们牢固树立上级审计机关对下级审计机关的领导意识，强化政治机关建设，狠抓审计项目实施，规范机关各项管理，加强审计队伍建设，整体工作有大的跃升。2021年安排实施了</w:t>
      </w:r>
      <w:r>
        <w:rPr>
          <w:rFonts w:hint="eastAsia" w:ascii="仿宋_GB2312" w:eastAsia="仿宋_GB2312"/>
          <w:sz w:val="32"/>
          <w:szCs w:val="32"/>
          <w:lang w:val="en-US" w:eastAsia="zh-CN"/>
        </w:rPr>
        <w:t>29</w:t>
      </w:r>
      <w:r>
        <w:rPr>
          <w:rFonts w:hint="eastAsia" w:ascii="仿宋_GB2312" w:eastAsia="仿宋_GB2312"/>
          <w:sz w:val="32"/>
          <w:szCs w:val="32"/>
        </w:rPr>
        <w:t>个审计项目，共查出违规及管理不规范金额3744万元。查出非金额计量问题113个。报送各类审计报告、专项审计调查报告等</w:t>
      </w:r>
      <w:r>
        <w:rPr>
          <w:rFonts w:hint="eastAsia" w:ascii="仿宋_GB2312" w:eastAsia="仿宋_GB2312"/>
          <w:sz w:val="32"/>
          <w:szCs w:val="32"/>
          <w:lang w:val="en-US" w:eastAsia="zh-CN"/>
        </w:rPr>
        <w:t>29</w:t>
      </w:r>
      <w:r>
        <w:rPr>
          <w:rFonts w:hint="eastAsia" w:ascii="仿宋_GB2312" w:eastAsia="仿宋_GB2312"/>
          <w:sz w:val="32"/>
          <w:szCs w:val="32"/>
        </w:rPr>
        <w:t>篇，提出防范风险、完善制度、深化改革等方面建议75条，被采纳71条，移送处理事项3件。审计工作在严肃财经法纪、推进依法行政、维护群众利益、促进廉政建设等方面发挥了积极作用。</w:t>
      </w:r>
    </w:p>
    <w:p>
      <w:pPr>
        <w:spacing w:line="579" w:lineRule="exact"/>
        <w:ind w:firstLine="642" w:firstLineChars="200"/>
        <w:rPr>
          <w:rFonts w:hint="eastAsia" w:ascii="仿宋_GB2312" w:eastAsia="仿宋_GB2312"/>
          <w:sz w:val="32"/>
          <w:szCs w:val="32"/>
        </w:rPr>
      </w:pPr>
      <w:r>
        <w:rPr>
          <w:rFonts w:hint="eastAsia" w:ascii="仿宋_GB2312" w:eastAsia="仿宋_GB2312"/>
          <w:b/>
          <w:sz w:val="32"/>
          <w:szCs w:val="32"/>
        </w:rPr>
        <w:t>一是预算执行审计取得新成效。</w:t>
      </w:r>
      <w:r>
        <w:rPr>
          <w:rFonts w:hint="eastAsia" w:ascii="仿宋_GB2312" w:eastAsia="仿宋_GB2312"/>
          <w:sz w:val="32"/>
          <w:szCs w:val="32"/>
        </w:rPr>
        <w:t>持续加大对重点民生资金和项目审计力度，及时跟进中央、省市利民惠民富民政策落实情况，在全面采集71个一级预算单位财务数据的基础上，扩展采集了财政、人社、民政等15个部门22类业务数据，为大数据分析夯实基础。精准定位了17个部门国有资产账面金额与国有资产管理系统金额不符、14个单位往来款长期挂账未处理、违规向54名公职人员发放农村独生子女奖励费26.71万元、向52名死亡人员发放最低生活保障金、机关事业退休养老金和计划生育奖励金6.86万元、向6名人员重复发放城乡居民养老待遇和企事业退休养老待遇2.53万元、11户不符合规定的家庭违规享受公租住房保障待遇等问题，相关部门调整账务6885.9万元，违规发放37.64万元全部追回，清退公租房7套，上缴国库资金1552万元。促进被审部门完善《2021年预算执行有关事项的通知》《县级支出项目绩效评价管理办法》《关于加强行政事业单位固定资产管理的通知》等文件，推动了资金高效使用、项目加快实施、政策落地落实。</w:t>
      </w:r>
    </w:p>
    <w:p>
      <w:pPr>
        <w:spacing w:line="579" w:lineRule="exact"/>
        <w:ind w:firstLine="642" w:firstLineChars="200"/>
        <w:rPr>
          <w:rFonts w:hint="eastAsia" w:ascii="仿宋_GB2312" w:eastAsia="仿宋_GB2312"/>
          <w:sz w:val="32"/>
          <w:szCs w:val="32"/>
        </w:rPr>
      </w:pPr>
      <w:r>
        <w:rPr>
          <w:rFonts w:hint="eastAsia" w:ascii="仿宋_GB2312" w:eastAsia="仿宋_GB2312"/>
          <w:b/>
          <w:sz w:val="32"/>
          <w:szCs w:val="32"/>
        </w:rPr>
        <w:t>二是政府投资审计有了新作为。</w:t>
      </w:r>
      <w:r>
        <w:rPr>
          <w:rFonts w:hint="eastAsia" w:ascii="仿宋_GB2312" w:eastAsia="仿宋_GB2312"/>
          <w:sz w:val="32"/>
          <w:szCs w:val="32"/>
        </w:rPr>
        <w:t>为确保投资审计回归主责主业，我们以“某县政府工程审计造假”暴露问题专项整治为契机，对投资审计各业务环节和内控制度进行完善，绘好“施工图”。先后制定修订《政府投资审计业务流程》《政府投资项目聘用社会力量参与工程造价审计考核办法》等12项审计业务制度，以及《政府投资审计工作联席会议工作规则》《办公室工作细则》等8项行政管理制度。2021年，对3个政府投资项目进行了竣工决算审计，重点对建设项目管理、超概算投资、工程招投标、监理机构履职、挤占建设资金、变更低价中标多计工程价款等进行审计，促使建设单位加强工程项目管理、提高资金使用效益。对2018年以来政府投资的69个县重点项目进行了审计调查，发现建设流程不清楚、办理审批时限较长等问题，促进县政府完善了《政府投资建设项目管理办法》，删除了以审代结的相关条款，对处理处罚、责任追究依据等内容进行了修改，专门制定了《关于严格政府投资项目工程变更程序的通知》《万荣县绿化苗木管护办法》《万荣县绿化工程管理办法》等文件，进一步提高了政府投资管理水平和资金使用效益。</w:t>
      </w:r>
    </w:p>
    <w:p>
      <w:pPr>
        <w:spacing w:line="579" w:lineRule="exact"/>
        <w:ind w:firstLine="642" w:firstLineChars="200"/>
        <w:rPr>
          <w:rFonts w:hint="eastAsia" w:ascii="仿宋_GB2312" w:eastAsia="仿宋_GB2312"/>
          <w:sz w:val="32"/>
          <w:szCs w:val="32"/>
        </w:rPr>
      </w:pPr>
      <w:r>
        <w:rPr>
          <w:rFonts w:hint="eastAsia" w:ascii="仿宋_GB2312" w:eastAsia="仿宋_GB2312"/>
          <w:b/>
          <w:sz w:val="32"/>
          <w:szCs w:val="32"/>
        </w:rPr>
        <w:t>三是经济责任审计呈现新格局。</w:t>
      </w:r>
      <w:r>
        <w:rPr>
          <w:rFonts w:hint="eastAsia" w:ascii="仿宋_GB2312" w:eastAsia="仿宋_GB2312"/>
          <w:sz w:val="32"/>
          <w:szCs w:val="32"/>
        </w:rPr>
        <w:t>从“就审计论审计”的传统思维方式和思维习惯转变到关注领导干部权力运行和责任落实。坚持职责、权力和责任一体化的原则，坚持乡镇党政干部同责同审原则，把经济责任审计内容与领导干部经济决策、经济管理、经济政策执行情况结合起来，与自然资产资源审计结合起来，开展了解店镇、皇甫乡、高村乡等19个单位的领导干部经责审计，审计发现，个别领导干部履行部门职责不到位、目标任务承诺未完成等问题，为进一步规范领导干部权力运行、提高履职履责能力发挥审计的免疫作用。</w:t>
      </w:r>
    </w:p>
    <w:p>
      <w:pPr>
        <w:spacing w:line="579" w:lineRule="exact"/>
        <w:ind w:firstLine="642" w:firstLineChars="200"/>
        <w:rPr>
          <w:rFonts w:hint="eastAsia" w:ascii="仿宋_GB2312" w:eastAsia="仿宋_GB2312"/>
          <w:sz w:val="32"/>
          <w:szCs w:val="32"/>
        </w:rPr>
      </w:pPr>
      <w:r>
        <w:rPr>
          <w:rFonts w:hint="eastAsia" w:ascii="仿宋_GB2312" w:eastAsia="仿宋_GB2312"/>
          <w:b/>
          <w:sz w:val="32"/>
          <w:szCs w:val="32"/>
        </w:rPr>
        <w:t>四是民生保障审计达到新高度。</w:t>
      </w:r>
      <w:r>
        <w:rPr>
          <w:rFonts w:hint="eastAsia" w:ascii="仿宋_GB2312" w:eastAsia="仿宋_GB2312"/>
          <w:sz w:val="32"/>
          <w:szCs w:val="32"/>
        </w:rPr>
        <w:t>“民之所忧、我必念之，民之所盼、我必行之”。以“我为群众办实事”为载体，紧盯重点民生事项、民生资金和民生项目，深入调研走访、深入基层群众、深入生产一线、深入服务对象，揭示各类政策因执行不到位未能惠及群众等方面存在的倾向性问题，举一反三、标本兼治，促进民生保障体系更加健全、制度政策更加完善、执行落实更加有效。</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在供热中心审计中，查出煤质不达标、供热成本核算不准确、柴油出库管理不规范等问题，企业完善出入库管理和收费文件，清收欠费16.04万元，建立备品备件数量金额明细账，促进健康发展。在供水公司审计中，围绕企业收入、支出、管理编制审计方案，揭示了用水计划定额管理不规范、商业用水底数不清、内控制度不健全等问题，促进企业规范超计划用水定额、建立健全国有资产内控制度、对城区抄表到户的6512户进行全面核查，实现增收节支。在县直学校审计中，发现代收款项未纳入学校财务统一核算、校服未进行招标采购、存货管理不规范等问题，县教育局举一反三，督促各级学校完善资产管理、预算管理、大型活动管理等制度，规范约束各类收支。在乡镇卫生院审计中，运用大数据思维，按照“总体分析、发现疑点、分散核实、系统研究”的办法，揭示了未提取医疗风险基金、违规收治参保人员套取医保资金等问题，确保医保基金安全，促进健康万荣建设。在大气污染防治专项资金审计中，查出大气污染防治专项资金使用不合理、项目管理不到位等4大类7个问题，促进能源、住建等部门完善专项资金使用管理制度，整改违规发放补贴资金，推动节能改造，提升项目绩效，为加快建设空气常新、蓝天常现的美丽万荣保驾护航。</w:t>
      </w:r>
    </w:p>
    <w:p>
      <w:pPr>
        <w:pStyle w:val="11"/>
        <w:spacing w:before="0" w:beforeAutospacing="0" w:after="0" w:afterAutospacing="0" w:line="360" w:lineRule="auto"/>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（六）履职效益</w:t>
      </w:r>
    </w:p>
    <w:p>
      <w:pPr>
        <w:spacing w:line="579" w:lineRule="exact"/>
        <w:ind w:firstLine="640" w:firstLineChars="200"/>
        <w:rPr>
          <w:rFonts w:hint="eastAsia" w:ascii="仿宋_GB2312" w:eastAsia="仿宋_GB2312"/>
          <w:sz w:val="32"/>
          <w:szCs w:val="32"/>
        </w:rPr>
      </w:pPr>
      <w:r>
        <w:rPr>
          <w:rFonts w:hint="eastAsia" w:ascii="仿宋_GB2312" w:hAnsi="Arial" w:eastAsia="仿宋_GB2312" w:cs="Arial"/>
          <w:sz w:val="32"/>
          <w:szCs w:val="32"/>
          <w:shd w:val="clear" w:color="auto" w:fill="FFFFFF"/>
        </w:rPr>
        <w:t>经济效益：</w:t>
      </w:r>
      <w:r>
        <w:rPr>
          <w:rFonts w:hint="eastAsia" w:ascii="仿宋_GB2312" w:eastAsia="仿宋_GB2312"/>
          <w:sz w:val="32"/>
          <w:szCs w:val="32"/>
        </w:rPr>
        <w:t>2021年安排实施了</w:t>
      </w:r>
      <w:r>
        <w:rPr>
          <w:rFonts w:hint="eastAsia" w:ascii="仿宋_GB2312" w:eastAsia="仿宋_GB2312"/>
          <w:sz w:val="32"/>
          <w:szCs w:val="32"/>
          <w:lang w:val="en-US" w:eastAsia="zh-CN"/>
        </w:rPr>
        <w:t>29</w:t>
      </w:r>
      <w:r>
        <w:rPr>
          <w:rFonts w:hint="eastAsia" w:ascii="仿宋_GB2312" w:eastAsia="仿宋_GB2312"/>
          <w:sz w:val="32"/>
          <w:szCs w:val="32"/>
        </w:rPr>
        <w:t>个审计项目，共查出违规及管理不规范金额3744万元。查出非金额计量问题113个。报送各类审计报告、专项审计调查报告等</w:t>
      </w:r>
      <w:r>
        <w:rPr>
          <w:rFonts w:hint="eastAsia" w:ascii="仿宋_GB2312" w:eastAsia="仿宋_GB2312"/>
          <w:sz w:val="32"/>
          <w:szCs w:val="32"/>
          <w:lang w:val="en-US" w:eastAsia="zh-CN"/>
        </w:rPr>
        <w:t>29</w:t>
      </w:r>
      <w:r>
        <w:rPr>
          <w:rFonts w:hint="eastAsia" w:ascii="仿宋_GB2312" w:eastAsia="仿宋_GB2312"/>
          <w:sz w:val="32"/>
          <w:szCs w:val="32"/>
        </w:rPr>
        <w:t>篇，提出防范风险、完善制度、深化改革等方面建议75条，被采纳71条，移送处理事项3件。审计工作在严肃财经法纪、推进依法行政、维护群众利益、促进廉政建设等方面发挥了积极作用。</w:t>
      </w:r>
    </w:p>
    <w:p>
      <w:pPr>
        <w:widowControl/>
        <w:spacing w:line="480" w:lineRule="auto"/>
        <w:ind w:firstLine="480"/>
        <w:rPr>
          <w:rFonts w:eastAsia="仿宋_GB2312"/>
          <w:sz w:val="30"/>
          <w:szCs w:val="30"/>
        </w:rPr>
      </w:pPr>
      <w:r>
        <w:rPr>
          <w:rFonts w:hint="eastAsia" w:ascii="仿宋_GB2312" w:eastAsia="仿宋_GB2312" w:cs="宋体"/>
          <w:color w:val="000000"/>
          <w:kern w:val="0"/>
          <w:sz w:val="32"/>
          <w:szCs w:val="32"/>
          <w:shd w:val="clear" w:color="auto" w:fill="FFFFFF"/>
        </w:rPr>
        <w:t>社会效益：</w:t>
      </w:r>
      <w:r>
        <w:rPr>
          <w:rFonts w:hint="eastAsia" w:eastAsia="仿宋_GB2312"/>
          <w:sz w:val="30"/>
          <w:szCs w:val="30"/>
        </w:rPr>
        <w:t>在社会效益方面，对重大经济</w:t>
      </w:r>
      <w:r>
        <w:rPr>
          <w:rFonts w:hint="eastAsia" w:eastAsia="仿宋_GB2312"/>
          <w:sz w:val="30"/>
          <w:szCs w:val="30"/>
          <w:lang w:eastAsia="zh-CN"/>
        </w:rPr>
        <w:t>问题</w:t>
      </w:r>
      <w:r>
        <w:rPr>
          <w:rFonts w:hint="eastAsia" w:eastAsia="仿宋_GB2312"/>
          <w:sz w:val="30"/>
          <w:szCs w:val="30"/>
        </w:rPr>
        <w:t>的揭露和查处，一方面起到了明显的威慑力，有效地发挥了对重大经济犯罪的遏制和警示，另一方面促使被审计单位进一步强化内部控制、堵塞管理漏洞、增强</w:t>
      </w:r>
      <w:r>
        <w:rPr>
          <w:rFonts w:hint="eastAsia" w:eastAsia="仿宋_GB2312"/>
          <w:sz w:val="30"/>
          <w:szCs w:val="30"/>
          <w:lang w:eastAsia="zh-CN"/>
        </w:rPr>
        <w:t>廉政</w:t>
      </w:r>
      <w:r>
        <w:rPr>
          <w:rFonts w:hint="eastAsia" w:eastAsia="仿宋_GB2312"/>
          <w:sz w:val="30"/>
          <w:szCs w:val="30"/>
        </w:rPr>
        <w:t>建设的自觉性，为维护财经秩序、促进廉</w:t>
      </w:r>
      <w:r>
        <w:rPr>
          <w:rFonts w:hint="eastAsia" w:eastAsia="仿宋_GB2312"/>
          <w:sz w:val="30"/>
          <w:szCs w:val="30"/>
          <w:lang w:eastAsia="zh-CN"/>
        </w:rPr>
        <w:t>政</w:t>
      </w:r>
      <w:r>
        <w:rPr>
          <w:rFonts w:hint="eastAsia" w:eastAsia="仿宋_GB2312"/>
          <w:sz w:val="30"/>
          <w:szCs w:val="30"/>
        </w:rPr>
        <w:t>建设发挥了重要作用。</w:t>
      </w:r>
    </w:p>
    <w:p>
      <w:pPr>
        <w:pStyle w:val="11"/>
        <w:spacing w:before="0" w:beforeAutospacing="0" w:after="0" w:afterAutospacing="0"/>
        <w:ind w:firstLine="640" w:firstLineChars="200"/>
        <w:rPr>
          <w:rFonts w:ascii="仿宋_GB2312" w:eastAsia="仿宋_GB2312"/>
          <w:sz w:val="32"/>
          <w:szCs w:val="32"/>
          <w:shd w:val="clear" w:color="auto" w:fill="FFFFFF"/>
        </w:rPr>
      </w:pPr>
      <w:r>
        <w:rPr>
          <w:rFonts w:hint="eastAsia" w:ascii="仿宋_GB2312" w:eastAsia="仿宋_GB2312"/>
          <w:sz w:val="32"/>
          <w:szCs w:val="32"/>
        </w:rPr>
        <w:t>行政效能：</w:t>
      </w:r>
      <w:r>
        <w:rPr>
          <w:rFonts w:hint="eastAsia" w:ascii="仿宋_GB2312" w:eastAsia="仿宋_GB2312"/>
          <w:sz w:val="32"/>
          <w:szCs w:val="32"/>
          <w:lang w:eastAsia="zh-CN"/>
        </w:rPr>
        <w:t>我</w:t>
      </w:r>
      <w:r>
        <w:rPr>
          <w:rFonts w:hint="eastAsia" w:ascii="仿宋_GB2312" w:eastAsia="仿宋_GB2312"/>
          <w:sz w:val="32"/>
          <w:szCs w:val="32"/>
          <w:shd w:val="clear" w:color="auto" w:fill="FFFFFF"/>
        </w:rPr>
        <w:t>单位</w:t>
      </w:r>
      <w:r>
        <w:rPr>
          <w:rFonts w:ascii="仿宋_GB2312" w:eastAsia="仿宋_GB2312"/>
          <w:sz w:val="32"/>
          <w:szCs w:val="32"/>
          <w:shd w:val="clear" w:color="auto" w:fill="FFFFFF"/>
        </w:rPr>
        <w:t>20</w:t>
      </w:r>
      <w:r>
        <w:rPr>
          <w:rFonts w:hint="eastAsia" w:ascii="仿宋_GB2312" w:eastAsia="仿宋_GB2312"/>
          <w:sz w:val="32"/>
          <w:szCs w:val="32"/>
          <w:shd w:val="clear" w:color="auto" w:fill="FFFFFF"/>
          <w:lang w:val="en-US" w:eastAsia="zh-CN"/>
        </w:rPr>
        <w:t>21</w:t>
      </w:r>
      <w:r>
        <w:rPr>
          <w:rFonts w:hint="eastAsia" w:ascii="仿宋_GB2312" w:eastAsia="仿宋_GB2312"/>
          <w:sz w:val="32"/>
          <w:szCs w:val="32"/>
          <w:shd w:val="clear" w:color="auto" w:fill="FFFFFF"/>
        </w:rPr>
        <w:t>年度不断改善行政管理，加强制度体系建设</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根据社会发展及服务对象对本单位的工作要求改进了文风会风，精简会议、文件，严格资产管理和经费使用，积极推动政务公开，行政效率提高，行政成本进一步降低。</w:t>
      </w:r>
    </w:p>
    <w:p>
      <w:pPr>
        <w:pStyle w:val="11"/>
        <w:spacing w:before="0" w:beforeAutospacing="0" w:after="0" w:afterAutospacing="0"/>
        <w:ind w:firstLine="640" w:firstLineChars="200"/>
        <w:rPr>
          <w:rFonts w:hint="eastAsia" w:ascii="仿宋_GB2312" w:hAnsi="Arial" w:eastAsia="仿宋_GB2312" w:cs="Arial"/>
          <w:sz w:val="32"/>
          <w:szCs w:val="32"/>
          <w:shd w:val="clear" w:color="auto" w:fill="FFFFFF"/>
        </w:rPr>
      </w:pPr>
      <w:r>
        <w:rPr>
          <w:rFonts w:hint="eastAsia" w:ascii="仿宋_GB2312" w:eastAsia="仿宋_GB2312"/>
          <w:sz w:val="32"/>
          <w:szCs w:val="32"/>
          <w:shd w:val="clear" w:color="auto" w:fill="FFFFFF"/>
        </w:rPr>
        <w:t>社会公众或服务对象满意度：我单位向</w:t>
      </w:r>
      <w:r>
        <w:rPr>
          <w:rFonts w:hint="eastAsia" w:ascii="仿宋_GB2312" w:eastAsia="仿宋_GB2312"/>
          <w:sz w:val="32"/>
          <w:szCs w:val="32"/>
          <w:shd w:val="clear" w:color="auto" w:fill="FFFFFF"/>
          <w:lang w:eastAsia="zh-CN"/>
        </w:rPr>
        <w:t>被审项目单位发调查问卷，</w:t>
      </w:r>
      <w:r>
        <w:rPr>
          <w:rFonts w:hint="eastAsia" w:ascii="仿宋_GB2312" w:eastAsia="仿宋_GB2312"/>
          <w:sz w:val="32"/>
          <w:szCs w:val="32"/>
          <w:shd w:val="clear" w:color="auto" w:fill="FFFFFF"/>
        </w:rPr>
        <w:t>从收回的</w:t>
      </w:r>
      <w:r>
        <w:rPr>
          <w:rFonts w:hint="eastAsia" w:ascii="仿宋_GB2312" w:eastAsia="仿宋_GB2312"/>
          <w:sz w:val="32"/>
          <w:szCs w:val="32"/>
          <w:shd w:val="clear" w:color="auto" w:fill="FFFFFF"/>
          <w:lang w:val="en-US" w:eastAsia="zh-CN"/>
        </w:rPr>
        <w:t>情况</w:t>
      </w:r>
      <w:r>
        <w:rPr>
          <w:rFonts w:hint="eastAsia" w:ascii="仿宋_GB2312" w:eastAsia="仿宋_GB2312"/>
          <w:sz w:val="32"/>
          <w:szCs w:val="32"/>
          <w:shd w:val="clear" w:color="auto" w:fill="FFFFFF"/>
        </w:rPr>
        <w:t>看，服务对象对本部门的工作现状、服务承诺以及服务态度、服务质量等各方面给予了不同的评价，满意度为</w:t>
      </w:r>
      <w:r>
        <w:rPr>
          <w:rFonts w:hint="eastAsia" w:ascii="仿宋_GB2312" w:eastAsia="仿宋_GB2312"/>
          <w:sz w:val="32"/>
          <w:szCs w:val="32"/>
          <w:shd w:val="clear" w:color="auto" w:fill="FFFFFF"/>
          <w:lang w:val="en-US" w:eastAsia="zh-CN"/>
        </w:rPr>
        <w:t>85</w:t>
      </w:r>
      <w:r>
        <w:rPr>
          <w:rFonts w:ascii="仿宋_GB2312" w:eastAsia="仿宋_GB2312"/>
          <w:sz w:val="32"/>
          <w:szCs w:val="32"/>
          <w:shd w:val="clear" w:color="auto" w:fill="FFFFFF"/>
        </w:rPr>
        <w:t>%</w:t>
      </w:r>
      <w:r>
        <w:rPr>
          <w:rFonts w:hint="eastAsia" w:ascii="仿宋_GB2312" w:eastAsia="仿宋_GB2312"/>
          <w:sz w:val="32"/>
          <w:szCs w:val="32"/>
          <w:shd w:val="clear" w:color="auto" w:fill="FFFFFF"/>
        </w:rPr>
        <w:t>。</w:t>
      </w:r>
    </w:p>
    <w:p>
      <w:pPr>
        <w:pStyle w:val="11"/>
        <w:numPr>
          <w:ilvl w:val="0"/>
          <w:numId w:val="3"/>
        </w:numPr>
        <w:spacing w:before="0" w:beforeAutospacing="0" w:after="0" w:afterAutospacing="0" w:line="578" w:lineRule="atLeast"/>
        <w:ind w:firstLine="642"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sz w:val="32"/>
          <w:szCs w:val="32"/>
          <w:shd w:val="clear" w:color="auto" w:fill="FFFFFF"/>
        </w:rPr>
        <w:t>评价结论</w:t>
      </w:r>
      <w:r>
        <w:rPr>
          <w:rFonts w:hint="eastAsia" w:ascii="仿宋_GB2312" w:hAnsi="Arial" w:eastAsia="仿宋_GB2312" w:cs="Arial"/>
          <w:b/>
          <w:sz w:val="32"/>
          <w:szCs w:val="32"/>
          <w:shd w:val="clear" w:color="auto" w:fill="FFFFFF"/>
          <w:lang w:eastAsia="zh-CN"/>
        </w:rPr>
        <w:t>与主要绩效</w:t>
      </w:r>
    </w:p>
    <w:p>
      <w:pPr>
        <w:pStyle w:val="11"/>
        <w:numPr>
          <w:ilvl w:val="0"/>
          <w:numId w:val="0"/>
        </w:numPr>
        <w:spacing w:before="0" w:beforeAutospacing="0" w:after="0" w:afterAutospacing="0" w:line="578" w:lineRule="atLeast"/>
        <w:ind w:firstLine="640" w:firstLineChars="200"/>
        <w:rPr>
          <w:rFonts w:hint="eastAsia" w:ascii="仿宋_GB2312" w:hAnsi="Arial" w:eastAsia="仿宋_GB2312" w:cs="Arial"/>
          <w:b/>
          <w:sz w:val="32"/>
          <w:szCs w:val="32"/>
          <w:shd w:val="clear" w:color="auto" w:fill="FFFFFF"/>
          <w:lang w:eastAsia="zh-CN"/>
        </w:rPr>
      </w:pPr>
      <w:r>
        <w:rPr>
          <w:rFonts w:hint="eastAsia" w:ascii="仿宋_GB2312" w:hAnsi="Arial" w:eastAsia="仿宋_GB2312" w:cs="Arial"/>
          <w:b w:val="0"/>
          <w:bCs/>
          <w:sz w:val="32"/>
          <w:szCs w:val="32"/>
          <w:shd w:val="clear" w:color="auto" w:fill="FFFFFF"/>
          <w:lang w:eastAsia="zh-CN"/>
        </w:rPr>
        <w:t>（一）评价结论</w:t>
      </w:r>
    </w:p>
    <w:p>
      <w:pPr>
        <w:pStyle w:val="11"/>
        <w:spacing w:before="0" w:beforeAutospacing="0" w:after="0" w:afterAutospacing="0" w:line="578" w:lineRule="atLeast"/>
        <w:ind w:firstLine="640" w:firstLineChars="200"/>
        <w:rPr>
          <w:rFonts w:ascii="仿宋" w:hAnsi="仿宋" w:eastAsia="仿宋" w:cs="Arial"/>
          <w:sz w:val="32"/>
          <w:szCs w:val="32"/>
        </w:rPr>
      </w:pPr>
      <w:r>
        <w:rPr>
          <w:rFonts w:hint="eastAsia" w:ascii="仿宋_GB2312" w:eastAsia="仿宋_GB2312"/>
          <w:sz w:val="32"/>
          <w:szCs w:val="32"/>
          <w:shd w:val="clear" w:color="auto" w:fill="FFFFFF"/>
        </w:rPr>
        <w:t>根据万荣县级部门整体支出绩效自评评分表，本单位部门整体支出绩效评价得分是：投入绩效为</w:t>
      </w:r>
      <w:r>
        <w:rPr>
          <w:rFonts w:ascii="仿宋_GB2312" w:eastAsia="仿宋_GB2312"/>
          <w:sz w:val="32"/>
          <w:szCs w:val="32"/>
          <w:shd w:val="clear" w:color="auto" w:fill="FFFFFF"/>
        </w:rPr>
        <w:t>1</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分，过程绩效为</w:t>
      </w:r>
      <w:r>
        <w:rPr>
          <w:rFonts w:hint="eastAsia" w:ascii="仿宋_GB2312" w:eastAsia="仿宋_GB2312"/>
          <w:sz w:val="32"/>
          <w:szCs w:val="32"/>
          <w:shd w:val="clear" w:color="auto" w:fill="FFFFFF"/>
          <w:lang w:val="en-US" w:eastAsia="zh-CN"/>
        </w:rPr>
        <w:t>35</w:t>
      </w:r>
      <w:r>
        <w:rPr>
          <w:rFonts w:hint="eastAsia" w:ascii="仿宋_GB2312" w:eastAsia="仿宋_GB2312"/>
          <w:sz w:val="32"/>
          <w:szCs w:val="32"/>
          <w:shd w:val="clear" w:color="auto" w:fill="FFFFFF"/>
        </w:rPr>
        <w:t>分，产出绩效</w:t>
      </w:r>
      <w:r>
        <w:rPr>
          <w:rFonts w:hint="eastAsia" w:ascii="仿宋_GB2312" w:eastAsia="仿宋_GB2312"/>
          <w:sz w:val="32"/>
          <w:szCs w:val="32"/>
          <w:shd w:val="clear" w:color="auto" w:fill="FFFFFF"/>
          <w:lang w:eastAsia="zh-CN"/>
        </w:rPr>
        <w:t>为</w:t>
      </w:r>
      <w:r>
        <w:rPr>
          <w:rFonts w:hint="eastAsia" w:ascii="仿宋_GB2312" w:eastAsia="仿宋_GB2312"/>
          <w:sz w:val="32"/>
          <w:szCs w:val="32"/>
          <w:shd w:val="clear" w:color="auto" w:fill="FFFFFF"/>
          <w:lang w:val="en-US" w:eastAsia="zh-CN"/>
        </w:rPr>
        <w:t>19分，</w:t>
      </w:r>
      <w:r>
        <w:rPr>
          <w:rFonts w:hint="eastAsia" w:ascii="仿宋_GB2312" w:eastAsia="仿宋_GB2312"/>
          <w:sz w:val="32"/>
          <w:szCs w:val="32"/>
          <w:shd w:val="clear" w:color="auto" w:fill="FFFFFF"/>
        </w:rPr>
        <w:t>效果绩效为</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分，总绩效为</w:t>
      </w:r>
      <w:r>
        <w:rPr>
          <w:rFonts w:hint="eastAsia" w:ascii="仿宋_GB2312" w:eastAsia="仿宋_GB2312"/>
          <w:sz w:val="32"/>
          <w:szCs w:val="32"/>
          <w:shd w:val="clear" w:color="auto" w:fill="FFFFFF"/>
          <w:lang w:val="en-US" w:eastAsia="zh-CN"/>
        </w:rPr>
        <w:t>86</w:t>
      </w:r>
      <w:r>
        <w:rPr>
          <w:rFonts w:hint="eastAsia" w:ascii="仿宋_GB2312" w:eastAsia="仿宋_GB2312"/>
          <w:sz w:val="32"/>
          <w:szCs w:val="32"/>
          <w:shd w:val="clear" w:color="auto" w:fill="FFFFFF"/>
        </w:rPr>
        <w:t>分。绩效评级为“</w:t>
      </w:r>
      <w:r>
        <w:rPr>
          <w:rFonts w:hint="eastAsia" w:ascii="仿宋" w:hAnsi="仿宋" w:eastAsia="仿宋"/>
          <w:sz w:val="32"/>
          <w:szCs w:val="32"/>
        </w:rPr>
        <w:t>良</w:t>
      </w:r>
      <w:r>
        <w:rPr>
          <w:rFonts w:hint="eastAsia" w:ascii="仿宋_GB2312" w:eastAsia="仿宋_GB2312"/>
          <w:sz w:val="32"/>
          <w:szCs w:val="32"/>
          <w:shd w:val="clear" w:color="auto" w:fill="FFFFFF"/>
        </w:rPr>
        <w:t>”。</w:t>
      </w:r>
      <w:r>
        <w:rPr>
          <w:rFonts w:hint="eastAsia" w:ascii="仿宋" w:hAnsi="仿宋" w:eastAsia="仿宋"/>
          <w:sz w:val="32"/>
          <w:szCs w:val="32"/>
        </w:rPr>
        <w:t>具体得分情况见部门整体支出绩效评价评分表。</w:t>
      </w:r>
    </w:p>
    <w:p>
      <w:pPr>
        <w:pStyle w:val="11"/>
        <w:spacing w:before="0" w:beforeAutospacing="0" w:after="0" w:afterAutospacing="0" w:line="578" w:lineRule="atLeas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（二）主要绩效</w:t>
      </w:r>
    </w:p>
    <w:p>
      <w:pPr>
        <w:spacing w:line="579" w:lineRule="exact"/>
        <w:ind w:firstLine="640" w:firstLineChars="200"/>
        <w:rPr>
          <w:rFonts w:hint="eastAsia" w:ascii="仿宋_GB2312" w:eastAsia="仿宋_GB2312"/>
          <w:sz w:val="32"/>
          <w:szCs w:val="32"/>
        </w:rPr>
      </w:pPr>
      <w:r>
        <w:rPr>
          <w:rFonts w:hint="eastAsia" w:ascii="仿宋_GB2312" w:eastAsia="仿宋_GB2312"/>
          <w:sz w:val="32"/>
          <w:szCs w:val="32"/>
        </w:rPr>
        <w:t>2021年安排实施了</w:t>
      </w:r>
      <w:r>
        <w:rPr>
          <w:rFonts w:hint="eastAsia" w:ascii="仿宋_GB2312" w:eastAsia="仿宋_GB2312"/>
          <w:sz w:val="32"/>
          <w:szCs w:val="32"/>
          <w:lang w:val="en-US" w:eastAsia="zh-CN"/>
        </w:rPr>
        <w:t>29</w:t>
      </w:r>
      <w:r>
        <w:rPr>
          <w:rFonts w:hint="eastAsia" w:ascii="仿宋_GB2312" w:eastAsia="仿宋_GB2312"/>
          <w:sz w:val="32"/>
          <w:szCs w:val="32"/>
        </w:rPr>
        <w:t>个审计项目，共查出违规及管理不规范金额3744万元。查出非金额计量问题113个。报送各类审计报告、专项审计调查报告等</w:t>
      </w:r>
      <w:r>
        <w:rPr>
          <w:rFonts w:hint="eastAsia" w:ascii="仿宋_GB2312" w:eastAsia="仿宋_GB2312"/>
          <w:sz w:val="32"/>
          <w:szCs w:val="32"/>
          <w:lang w:val="en-US" w:eastAsia="zh-CN"/>
        </w:rPr>
        <w:t>29</w:t>
      </w:r>
      <w:r>
        <w:rPr>
          <w:rFonts w:hint="eastAsia" w:ascii="仿宋_GB2312" w:eastAsia="仿宋_GB2312"/>
          <w:sz w:val="32"/>
          <w:szCs w:val="32"/>
        </w:rPr>
        <w:t>篇，提出防范风险、完善制度、深化改革等方面建议75条，被采纳71条，移送处理事项3件。审计工作在严肃财经法纪、推进依法行政、维护群众利益、促进廉政建设等方面发挥了积极作用。</w:t>
      </w:r>
    </w:p>
    <w:p>
      <w:pPr>
        <w:pStyle w:val="11"/>
        <w:spacing w:before="0" w:beforeAutospacing="0" w:after="0" w:afterAutospacing="0" w:line="578" w:lineRule="atLeast"/>
        <w:ind w:firstLine="642"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五、存在问题</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一是审计工作质量需进一步提升，对重大投资项目审计的深度和力度还不够。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二是审计方式方法还比较单一，计算机辅助审计等先进的现代审计方法运用还不够。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三是审计人员综合素质有待进一步提高。</w:t>
      </w:r>
    </w:p>
    <w:p>
      <w:pPr>
        <w:pStyle w:val="11"/>
        <w:spacing w:before="0" w:beforeAutospacing="0" w:after="0" w:afterAutospacing="0" w:line="578" w:lineRule="atLeast"/>
        <w:ind w:firstLine="642" w:firstLineChars="200"/>
        <w:rPr>
          <w:rFonts w:ascii="仿宋_GB2312" w:hAnsi="Arial" w:eastAsia="仿宋_GB2312" w:cs="Arial"/>
          <w:b/>
          <w:sz w:val="32"/>
          <w:szCs w:val="32"/>
          <w:shd w:val="clear" w:color="auto" w:fill="FFFFFF"/>
        </w:rPr>
      </w:pPr>
      <w:r>
        <w:rPr>
          <w:rFonts w:hint="eastAsia" w:ascii="仿宋_GB2312" w:hAnsi="Arial" w:eastAsia="仿宋_GB2312" w:cs="Arial"/>
          <w:b/>
          <w:sz w:val="32"/>
          <w:szCs w:val="32"/>
          <w:shd w:val="clear" w:color="auto" w:fill="FFFFFF"/>
        </w:rPr>
        <w:t>六、整改措施及建议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一是创新审计方法，提升工作质量。注重审计跟踪跟进，做到财政资金运用到哪里，审计就主动跟进到哪里。注重现代审计技术的普及应用。注重审计方式转变，利用有效审计资源，在重大审计项目上形成合力。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 w:hAnsi="仿宋" w:eastAsia="仿宋" w:cs="宋体"/>
          <w:color w:val="000000"/>
          <w:kern w:val="0"/>
          <w:sz w:val="32"/>
          <w:szCs w:val="32"/>
          <w:lang w:val="en-US" w:eastAsia="zh-CN" w:bidi="ar-SA"/>
        </w:rPr>
      </w:pPr>
      <w:r>
        <w:rPr>
          <w:rFonts w:hint="eastAsia" w:ascii="仿宋" w:hAnsi="仿宋" w:eastAsia="仿宋" w:cs="宋体"/>
          <w:color w:val="000000"/>
          <w:kern w:val="0"/>
          <w:sz w:val="32"/>
          <w:szCs w:val="32"/>
          <w:lang w:val="en-US" w:eastAsia="zh-CN" w:bidi="ar-SA"/>
        </w:rPr>
        <w:t>二是创新审计内容，增强监督实效。围绕县委、县政府的重大决定，在审计中努力做到更加关注民生、更加关注绩效、更加关注风险、更加关注宏观，多从机制、制度上找原因、提建议、促规范。</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3" w:lineRule="atLeast"/>
        <w:ind w:left="0" w:right="0" w:firstLine="640" w:firstLineChars="200"/>
        <w:jc w:val="both"/>
        <w:textAlignment w:val="auto"/>
        <w:rPr>
          <w:rFonts w:hint="eastAsia" w:ascii="仿宋" w:hAnsi="仿宋" w:eastAsia="仿宋" w:cs="Times New Roman"/>
          <w:kern w:val="2"/>
          <w:sz w:val="32"/>
          <w:szCs w:val="32"/>
          <w:lang w:val="en-US" w:eastAsia="zh-CN" w:bidi="ar-SA"/>
        </w:rPr>
      </w:pPr>
      <w:r>
        <w:rPr>
          <w:rFonts w:hint="eastAsia" w:ascii="仿宋" w:hAnsi="仿宋" w:eastAsia="仿宋" w:cs="宋体"/>
          <w:color w:val="000000"/>
          <w:kern w:val="0"/>
          <w:sz w:val="32"/>
          <w:szCs w:val="32"/>
          <w:lang w:val="en-US" w:eastAsia="zh-CN" w:bidi="ar-SA"/>
        </w:rPr>
        <w:t>三是创新审计机制，夯</w:t>
      </w:r>
      <w:r>
        <w:rPr>
          <w:rFonts w:hint="eastAsia" w:ascii="仿宋" w:hAnsi="仿宋" w:eastAsia="仿宋" w:cs="Times New Roman"/>
          <w:kern w:val="2"/>
          <w:sz w:val="32"/>
          <w:szCs w:val="32"/>
          <w:lang w:val="en-US" w:eastAsia="zh-CN" w:bidi="ar-SA"/>
        </w:rPr>
        <w:t>实执法基础。建立完善审计公开机制、督查机制、问责机制，加强“责任、忠诚、清廉、依法、独立、奉献”的审计人员核心价值观教育，深入推进党风廉政建设，规范权力运行，努力保持审计队伍的良好形象。</w:t>
      </w:r>
    </w:p>
    <w:p>
      <w:pPr>
        <w:pStyle w:val="11"/>
        <w:spacing w:before="0" w:beforeAutospacing="0" w:after="0" w:afterAutospacing="0" w:line="578" w:lineRule="atLeast"/>
        <w:ind w:firstLine="640" w:firstLineChars="200"/>
        <w:rPr>
          <w:rFonts w:ascii="仿宋_GB2312" w:hAnsi="Arial" w:eastAsia="仿宋_GB2312" w:cs="Arial"/>
          <w:sz w:val="32"/>
          <w:szCs w:val="32"/>
          <w:shd w:val="clear" w:color="auto" w:fill="FFFFFF"/>
        </w:rPr>
      </w:pPr>
    </w:p>
    <w:p>
      <w:pPr>
        <w:ind w:firstLine="630"/>
        <w:jc w:val="left"/>
        <w:rPr>
          <w:rFonts w:hint="eastAsia" w:ascii="仿宋" w:hAnsi="仿宋" w:eastAsia="仿宋"/>
          <w:sz w:val="32"/>
          <w:szCs w:val="32"/>
        </w:rPr>
      </w:pPr>
      <w:r>
        <w:rPr>
          <w:rFonts w:hint="eastAsia" w:ascii="仿宋" w:hAnsi="仿宋" w:eastAsia="仿宋"/>
          <w:sz w:val="32"/>
          <w:szCs w:val="32"/>
        </w:rPr>
        <w:t>附件：1、万荣县级部门整体支出绩效自评评分表</w:t>
      </w:r>
    </w:p>
    <w:p>
      <w:pPr>
        <w:pStyle w:val="2"/>
        <w:ind w:firstLine="1600" w:firstLineChars="500"/>
        <w:rPr>
          <w:rFonts w:hint="eastAsia"/>
          <w:sz w:val="32"/>
          <w:szCs w:val="32"/>
          <w:lang w:val="en-US" w:eastAsia="zh-CN"/>
        </w:rPr>
      </w:pPr>
      <w:r>
        <w:rPr>
          <w:rFonts w:hint="eastAsia"/>
          <w:sz w:val="32"/>
          <w:szCs w:val="32"/>
          <w:lang w:val="en-US" w:eastAsia="zh-CN"/>
        </w:rPr>
        <w:t>2、收支明细表</w:t>
      </w:r>
    </w:p>
    <w:p>
      <w:pPr>
        <w:pStyle w:val="2"/>
        <w:ind w:firstLine="1600" w:firstLineChars="500"/>
        <w:rPr>
          <w:rFonts w:hint="eastAsia"/>
          <w:sz w:val="32"/>
          <w:szCs w:val="32"/>
          <w:lang w:val="en-US" w:eastAsia="zh-CN"/>
        </w:rPr>
      </w:pPr>
      <w:r>
        <w:rPr>
          <w:rFonts w:hint="eastAsia"/>
          <w:sz w:val="32"/>
          <w:szCs w:val="32"/>
          <w:lang w:val="en-US" w:eastAsia="zh-CN"/>
        </w:rPr>
        <w:t>3、调查问卷表</w:t>
      </w:r>
    </w:p>
    <w:tbl>
      <w:tblPr>
        <w:tblStyle w:val="6"/>
        <w:tblpPr w:leftFromText="180" w:rightFromText="180" w:vertAnchor="text" w:horzAnchor="page" w:tblpX="1597" w:tblpY="-568"/>
        <w:tblOverlap w:val="never"/>
        <w:tblW w:w="8437" w:type="dxa"/>
        <w:tblInd w:w="0" w:type="dxa"/>
        <w:shd w:val="clear" w:color="auto" w:fill="auto"/>
        <w:tblLayout w:type="fixed"/>
        <w:tblCellMar>
          <w:top w:w="0" w:type="dxa"/>
          <w:left w:w="0" w:type="dxa"/>
          <w:bottom w:w="0" w:type="dxa"/>
          <w:right w:w="0" w:type="dxa"/>
        </w:tblCellMar>
      </w:tblPr>
      <w:tblGrid>
        <w:gridCol w:w="859"/>
        <w:gridCol w:w="902"/>
        <w:gridCol w:w="998"/>
        <w:gridCol w:w="632"/>
        <w:gridCol w:w="3163"/>
        <w:gridCol w:w="1883"/>
      </w:tblGrid>
      <w:tr>
        <w:tblPrEx>
          <w:tblCellMar>
            <w:top w:w="0" w:type="dxa"/>
            <w:left w:w="0" w:type="dxa"/>
            <w:bottom w:w="0" w:type="dxa"/>
            <w:right w:w="0" w:type="dxa"/>
          </w:tblCellMar>
        </w:tblPrEx>
        <w:trPr>
          <w:trHeight w:val="355" w:hRule="atLeast"/>
        </w:trPr>
        <w:tc>
          <w:tcPr>
            <w:tcW w:w="859" w:type="dxa"/>
            <w:tcBorders>
              <w:top w:val="nil"/>
              <w:left w:val="nil"/>
              <w:bottom w:val="nil"/>
              <w:right w:val="nil"/>
            </w:tcBorders>
            <w:shd w:val="clear" w:color="auto" w:fill="auto"/>
            <w:noWrap/>
            <w:tcMar>
              <w:top w:w="15" w:type="dxa"/>
              <w:left w:w="15" w:type="dxa"/>
              <w:right w:w="15" w:type="dxa"/>
            </w:tcMar>
            <w:vAlign w:val="center"/>
          </w:tcPr>
          <w:p>
            <w:pPr>
              <w:jc w:val="left"/>
              <w:rPr>
                <w:rFonts w:ascii="仿宋" w:hAnsi="仿宋" w:eastAsia="仿宋" w:cs="仿宋"/>
                <w:i w:val="0"/>
                <w:color w:val="000000"/>
                <w:sz w:val="24"/>
                <w:szCs w:val="24"/>
                <w:u w:val="none"/>
              </w:rPr>
            </w:pPr>
            <w:r>
              <w:rPr>
                <w:rFonts w:hint="eastAsia" w:ascii="仿宋" w:hAnsi="仿宋" w:eastAsia="仿宋"/>
                <w:sz w:val="32"/>
                <w:szCs w:val="32"/>
              </w:rPr>
              <w:br w:type="page"/>
            </w:r>
            <w:r>
              <w:rPr>
                <w:rFonts w:hint="eastAsia" w:ascii="仿宋" w:hAnsi="仿宋" w:eastAsia="仿宋" w:cs="仿宋"/>
                <w:i w:val="0"/>
                <w:color w:val="000000"/>
                <w:kern w:val="0"/>
                <w:sz w:val="24"/>
                <w:szCs w:val="24"/>
                <w:u w:val="none"/>
                <w:lang w:val="en-US" w:eastAsia="zh-CN" w:bidi="ar"/>
              </w:rPr>
              <w:t>附件：1</w:t>
            </w:r>
          </w:p>
        </w:tc>
        <w:tc>
          <w:tcPr>
            <w:tcW w:w="90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9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632"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16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8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94" w:hRule="atLeast"/>
        </w:trPr>
        <w:tc>
          <w:tcPr>
            <w:tcW w:w="8437" w:type="dxa"/>
            <w:gridSpan w:val="6"/>
            <w:tcBorders>
              <w:top w:val="nil"/>
              <w:left w:val="nil"/>
              <w:bottom w:val="single" w:color="000000" w:sz="4" w:space="0"/>
              <w:right w:val="nil"/>
            </w:tcBorders>
            <w:shd w:val="clear" w:color="auto" w:fill="FFFFFF"/>
            <w:tcMar>
              <w:top w:w="15" w:type="dxa"/>
              <w:left w:w="15" w:type="dxa"/>
              <w:right w:w="15" w:type="dxa"/>
            </w:tcMar>
            <w:vAlign w:val="top"/>
          </w:tcPr>
          <w:p>
            <w:pPr>
              <w:keepNext w:val="0"/>
              <w:keepLines w:val="0"/>
              <w:widowControl/>
              <w:suppressLineNumbers w:val="0"/>
              <w:jc w:val="center"/>
              <w:textAlignment w:val="top"/>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万荣县级部门整体支出绩效评价指标及评分表</w:t>
            </w:r>
          </w:p>
        </w:tc>
      </w:tr>
      <w:tr>
        <w:tblPrEx>
          <w:shd w:val="clear" w:color="auto" w:fill="auto"/>
          <w:tblCellMar>
            <w:top w:w="0" w:type="dxa"/>
            <w:left w:w="0" w:type="dxa"/>
            <w:bottom w:w="0" w:type="dxa"/>
            <w:right w:w="0" w:type="dxa"/>
          </w:tblCellMar>
        </w:tblPrEx>
        <w:trPr>
          <w:trHeight w:val="705" w:hRule="atLeast"/>
        </w:trPr>
        <w:tc>
          <w:tcPr>
            <w:tcW w:w="8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一级指标</w:t>
            </w:r>
          </w:p>
        </w:tc>
        <w:tc>
          <w:tcPr>
            <w:tcW w:w="90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二级指标</w:t>
            </w: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三级指标</w:t>
            </w:r>
          </w:p>
        </w:tc>
        <w:tc>
          <w:tcPr>
            <w:tcW w:w="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得分</w:t>
            </w:r>
          </w:p>
        </w:tc>
        <w:tc>
          <w:tcPr>
            <w:tcW w:w="31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指标解释说明</w:t>
            </w:r>
          </w:p>
        </w:tc>
        <w:tc>
          <w:tcPr>
            <w:tcW w:w="1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评分标准</w:t>
            </w:r>
          </w:p>
        </w:tc>
      </w:tr>
      <w:tr>
        <w:tblPrEx>
          <w:tblCellMar>
            <w:top w:w="0" w:type="dxa"/>
            <w:left w:w="0" w:type="dxa"/>
            <w:bottom w:w="0" w:type="dxa"/>
            <w:right w:w="0" w:type="dxa"/>
          </w:tblCellMar>
        </w:tblPrEx>
        <w:trPr>
          <w:trHeight w:val="366" w:hRule="atLeast"/>
        </w:trPr>
        <w:tc>
          <w:tcPr>
            <w:tcW w:w="2759"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b/>
                <w:i w:val="0"/>
                <w:color w:val="000000"/>
                <w:sz w:val="20"/>
                <w:szCs w:val="20"/>
                <w:u w:val="none"/>
              </w:rPr>
            </w:pPr>
            <w:r>
              <w:rPr>
                <w:rFonts w:hint="default" w:ascii="仿宋_GB2312" w:hAnsi="宋体" w:eastAsia="仿宋_GB2312" w:cs="仿宋_GB2312"/>
                <w:b/>
                <w:i w:val="0"/>
                <w:color w:val="000000"/>
                <w:kern w:val="0"/>
                <w:sz w:val="20"/>
                <w:szCs w:val="20"/>
                <w:u w:val="none"/>
                <w:lang w:val="en-US" w:eastAsia="zh-CN" w:bidi="ar"/>
              </w:rPr>
              <w:t>总计</w:t>
            </w:r>
          </w:p>
        </w:tc>
        <w:tc>
          <w:tcPr>
            <w:tcW w:w="6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5046"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6" w:hRule="atLeast"/>
        </w:trPr>
        <w:tc>
          <w:tcPr>
            <w:tcW w:w="859"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投入</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（10分）</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预算配置</w:t>
            </w:r>
            <w:r>
              <w:rPr>
                <w:rStyle w:val="19"/>
                <w:lang w:val="en-US" w:eastAsia="zh-CN" w:bidi="ar"/>
              </w:rPr>
              <w:t>(10分)</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“三公经费”变动率（5</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部门本年度“三公经费”预算数与上年度“三公经费”预算数的变动比率，用以反映和考核部门对控制重点行政成本的努力程度。</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“三公经费”变动率=[（本年度“三公经费”总额-上年度“三公经费”总额）/上年度“三公经费”总额]*100%</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“三公经费”：年度预算安排的因公出国（境）费、公务车辆购置及运行费和公务接待费。</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“三公经费”变动率≤0的，计5分； “三公经费”变动率&gt;0，每超过一个百分点扣0.5分，扣完为止。</w:t>
            </w:r>
          </w:p>
        </w:tc>
      </w:tr>
      <w:tr>
        <w:tblPrEx>
          <w:tblCellMar>
            <w:top w:w="0" w:type="dxa"/>
            <w:left w:w="0" w:type="dxa"/>
            <w:bottom w:w="0" w:type="dxa"/>
            <w:right w:w="0" w:type="dxa"/>
          </w:tblCellMar>
        </w:tblPrEx>
        <w:trPr>
          <w:trHeight w:val="366" w:hRule="atLeast"/>
        </w:trPr>
        <w:tc>
          <w:tcPr>
            <w:tcW w:w="85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31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025" w:hRule="atLeast"/>
        </w:trPr>
        <w:tc>
          <w:tcPr>
            <w:tcW w:w="85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044" w:hRule="atLeast"/>
        </w:trPr>
        <w:tc>
          <w:tcPr>
            <w:tcW w:w="85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在职人员控制率（5</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部门本年度实际在职人员数与编制数的比率，用以反映和评价部门对人员成本的控制程度。</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以</w:t>
            </w:r>
            <w:r>
              <w:rPr>
                <w:rStyle w:val="19"/>
                <w:lang w:val="en-US" w:eastAsia="zh-CN" w:bidi="ar"/>
              </w:rPr>
              <w:t>100%为标准。</w:t>
            </w:r>
            <w:r>
              <w:rPr>
                <w:rFonts w:hint="default" w:ascii="仿宋_GB2312" w:hAnsi="宋体" w:eastAsia="仿宋_GB2312" w:cs="仿宋_GB2312"/>
                <w:i w:val="0"/>
                <w:color w:val="000000"/>
                <w:kern w:val="0"/>
                <w:sz w:val="20"/>
                <w:szCs w:val="20"/>
                <w:u w:val="none"/>
                <w:lang w:val="en-US" w:eastAsia="zh-CN" w:bidi="ar"/>
              </w:rPr>
              <w:t>在职人员控制率≤</w:t>
            </w:r>
            <w:r>
              <w:rPr>
                <w:rStyle w:val="19"/>
                <w:lang w:val="en-US" w:eastAsia="zh-CN" w:bidi="ar"/>
              </w:rPr>
              <w:t>100%</w:t>
            </w:r>
            <w:r>
              <w:rPr>
                <w:rFonts w:hint="default" w:ascii="仿宋_GB2312" w:hAnsi="宋体" w:eastAsia="仿宋_GB2312" w:cs="仿宋_GB2312"/>
                <w:i w:val="0"/>
                <w:color w:val="000000"/>
                <w:kern w:val="0"/>
                <w:sz w:val="20"/>
                <w:szCs w:val="20"/>
                <w:u w:val="none"/>
                <w:lang w:val="en-US" w:eastAsia="zh-CN" w:bidi="ar"/>
              </w:rPr>
              <w:t>的，计</w:t>
            </w:r>
            <w:r>
              <w:rPr>
                <w:rStyle w:val="19"/>
                <w:lang w:val="en-US" w:eastAsia="zh-CN" w:bidi="ar"/>
              </w:rPr>
              <w:t>5</w:t>
            </w:r>
            <w:r>
              <w:rPr>
                <w:rFonts w:hint="default" w:ascii="仿宋_GB2312" w:hAnsi="宋体" w:eastAsia="仿宋_GB2312" w:cs="仿宋_GB2312"/>
                <w:i w:val="0"/>
                <w:color w:val="000000"/>
                <w:kern w:val="0"/>
                <w:sz w:val="20"/>
                <w:szCs w:val="20"/>
                <w:u w:val="none"/>
                <w:lang w:val="en-US" w:eastAsia="zh-CN" w:bidi="ar"/>
              </w:rPr>
              <w:t>分；每超过一个百分点扣</w:t>
            </w:r>
            <w:r>
              <w:rPr>
                <w:rStyle w:val="19"/>
                <w:lang w:val="en-US" w:eastAsia="zh-CN" w:bidi="ar"/>
              </w:rPr>
              <w:t>0.5</w:t>
            </w:r>
            <w:r>
              <w:rPr>
                <w:rFonts w:hint="default" w:ascii="仿宋_GB2312" w:hAnsi="宋体" w:eastAsia="仿宋_GB2312" w:cs="仿宋_GB2312"/>
                <w:i w:val="0"/>
                <w:color w:val="000000"/>
                <w:kern w:val="0"/>
                <w:sz w:val="20"/>
                <w:szCs w:val="20"/>
                <w:u w:val="none"/>
                <w:lang w:val="en-US" w:eastAsia="zh-CN" w:bidi="ar"/>
              </w:rPr>
              <w:t>分，扣完为止。</w:t>
            </w:r>
          </w:p>
        </w:tc>
      </w:tr>
      <w:tr>
        <w:tblPrEx>
          <w:tblCellMar>
            <w:top w:w="0" w:type="dxa"/>
            <w:left w:w="0" w:type="dxa"/>
            <w:bottom w:w="0" w:type="dxa"/>
            <w:right w:w="0" w:type="dxa"/>
          </w:tblCellMar>
        </w:tblPrEx>
        <w:trPr>
          <w:trHeight w:val="705" w:hRule="atLeast"/>
        </w:trPr>
        <w:tc>
          <w:tcPr>
            <w:tcW w:w="85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在职人员控制率</w:t>
            </w:r>
            <w:r>
              <w:rPr>
                <w:rStyle w:val="19"/>
                <w:lang w:val="en-US" w:eastAsia="zh-CN" w:bidi="ar"/>
              </w:rPr>
              <w:t>=</w:t>
            </w:r>
            <w:r>
              <w:rPr>
                <w:rFonts w:hint="default" w:ascii="仿宋_GB2312" w:hAnsi="宋体" w:eastAsia="仿宋_GB2312" w:cs="仿宋_GB2312"/>
                <w:i w:val="0"/>
                <w:color w:val="000000"/>
                <w:kern w:val="0"/>
                <w:sz w:val="20"/>
                <w:szCs w:val="20"/>
                <w:u w:val="none"/>
                <w:lang w:val="en-US" w:eastAsia="zh-CN" w:bidi="ar"/>
              </w:rPr>
              <w:t>（在职人员数</w:t>
            </w:r>
            <w:r>
              <w:rPr>
                <w:rStyle w:val="19"/>
                <w:lang w:val="en-US" w:eastAsia="zh-CN" w:bidi="ar"/>
              </w:rPr>
              <w:t>/</w:t>
            </w:r>
            <w:r>
              <w:rPr>
                <w:rFonts w:hint="default" w:ascii="仿宋_GB2312" w:hAnsi="宋体" w:eastAsia="仿宋_GB2312" w:cs="仿宋_GB2312"/>
                <w:i w:val="0"/>
                <w:color w:val="000000"/>
                <w:kern w:val="0"/>
                <w:sz w:val="20"/>
                <w:szCs w:val="20"/>
                <w:u w:val="none"/>
                <w:lang w:val="en-US" w:eastAsia="zh-CN" w:bidi="ar"/>
              </w:rPr>
              <w:t>编制数）×</w:t>
            </w:r>
            <w:r>
              <w:rPr>
                <w:rStyle w:val="19"/>
                <w:lang w:val="en-US" w:eastAsia="zh-CN" w:bidi="ar"/>
              </w:rPr>
              <w:t>100%</w:t>
            </w:r>
            <w:r>
              <w:rPr>
                <w:rFonts w:hint="default" w:ascii="仿宋_GB2312" w:hAnsi="宋体" w:eastAsia="仿宋_GB2312" w:cs="仿宋_GB2312"/>
                <w:i w:val="0"/>
                <w:color w:val="000000"/>
                <w:kern w:val="0"/>
                <w:sz w:val="20"/>
                <w:szCs w:val="20"/>
                <w:u w:val="none"/>
                <w:lang w:val="en-US" w:eastAsia="zh-CN" w:bidi="ar"/>
              </w:rPr>
              <w:t>。</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383" w:hRule="atLeast"/>
        </w:trPr>
        <w:tc>
          <w:tcPr>
            <w:tcW w:w="85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9"/>
                <w:lang w:val="en-US" w:eastAsia="zh-CN" w:bidi="ar"/>
              </w:rPr>
              <w:t>在职人员数：部门实际在职人数，以财政部确定的部门决算编制口</w:t>
            </w:r>
            <w:r>
              <w:rPr>
                <w:rFonts w:hint="default" w:ascii="仿宋_GB2312" w:hAnsi="宋体" w:eastAsia="仿宋_GB2312" w:cs="仿宋_GB2312"/>
                <w:i w:val="0"/>
                <w:color w:val="000000"/>
                <w:kern w:val="0"/>
                <w:sz w:val="20"/>
                <w:szCs w:val="20"/>
                <w:u w:val="none"/>
                <w:lang w:val="en-US" w:eastAsia="zh-CN" w:bidi="ar"/>
              </w:rPr>
              <w:t>径</w:t>
            </w:r>
            <w:r>
              <w:rPr>
                <w:rStyle w:val="19"/>
                <w:lang w:val="en-US" w:eastAsia="zh-CN" w:bidi="ar"/>
              </w:rPr>
              <w:t>为准</w:t>
            </w:r>
            <w:r>
              <w:rPr>
                <w:rFonts w:hint="default" w:ascii="仿宋_GB2312" w:hAnsi="宋体" w:eastAsia="仿宋_GB2312" w:cs="仿宋_GB2312"/>
                <w:i w:val="0"/>
                <w:color w:val="000000"/>
                <w:kern w:val="0"/>
                <w:sz w:val="20"/>
                <w:szCs w:val="20"/>
                <w:u w:val="none"/>
                <w:lang w:val="en-US" w:eastAsia="zh-CN" w:bidi="ar"/>
              </w:rPr>
              <w:t>，由编制部门和人劳部门批复同意的临聘人员除外。</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705" w:hRule="atLeast"/>
        </w:trPr>
        <w:tc>
          <w:tcPr>
            <w:tcW w:w="859"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编制数：机构编制部门核定批复的部门人员编制数。</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044" w:hRule="atLeast"/>
        </w:trPr>
        <w:tc>
          <w:tcPr>
            <w:tcW w:w="859"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过程</w:t>
            </w:r>
            <w:r>
              <w:rPr>
                <w:rFonts w:hint="default" w:ascii="仿宋_GB2312" w:hAnsi="宋体" w:eastAsia="仿宋_GB2312" w:cs="仿宋_GB2312"/>
                <w:i w:val="0"/>
                <w:color w:val="000000"/>
                <w:kern w:val="0"/>
                <w:sz w:val="20"/>
                <w:szCs w:val="20"/>
                <w:u w:val="none"/>
                <w:lang w:val="en-US" w:eastAsia="zh-CN" w:bidi="ar"/>
              </w:rPr>
              <w:br w:type="textWrapping"/>
            </w:r>
            <w:r>
              <w:rPr>
                <w:rStyle w:val="19"/>
                <w:lang w:val="en-US" w:eastAsia="zh-CN" w:bidi="ar"/>
              </w:rPr>
              <w:t>(42分)</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预算执行</w:t>
            </w:r>
            <w:r>
              <w:rPr>
                <w:rStyle w:val="19"/>
                <w:lang w:val="en-US" w:eastAsia="zh-CN" w:bidi="ar"/>
              </w:rPr>
              <w:t>(24分)</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预算完成率（5</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0</w:t>
            </w: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通过对部门本年度预算完成数与预算数的比较，反映和评价部门预算的完成程度。</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100%计满分，每低于5%扣2分，扣完为止。</w:t>
            </w:r>
          </w:p>
        </w:tc>
      </w:tr>
      <w:tr>
        <w:tblPrEx>
          <w:shd w:val="clear" w:color="auto" w:fill="auto"/>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restart"/>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预算完成率= [（上年结转+年初预算+本年追加预算-年末余额）/（上年结转+年初预算+本年追加预算）]*100%</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651"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continue"/>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044"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预算控制率（5</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部门本年度追加预算与年初预算的比率，用以反映和评价部门预算的控制程度。</w:t>
            </w:r>
          </w:p>
        </w:tc>
        <w:tc>
          <w:tcPr>
            <w:tcW w:w="1883"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预算控制率</w:t>
            </w:r>
            <w:r>
              <w:rPr>
                <w:rStyle w:val="19"/>
                <w:lang w:val="en-US" w:eastAsia="zh-CN" w:bidi="ar"/>
              </w:rPr>
              <w:t>=0</w:t>
            </w:r>
            <w:r>
              <w:rPr>
                <w:rFonts w:hint="default" w:ascii="仿宋_GB2312" w:hAnsi="宋体" w:eastAsia="仿宋_GB2312" w:cs="仿宋_GB2312"/>
                <w:i w:val="0"/>
                <w:color w:val="000000"/>
                <w:kern w:val="0"/>
                <w:sz w:val="20"/>
                <w:szCs w:val="20"/>
                <w:u w:val="none"/>
                <w:lang w:val="en-US" w:eastAsia="zh-CN" w:bidi="ar"/>
              </w:rPr>
              <w:t>的，计</w:t>
            </w:r>
            <w:r>
              <w:rPr>
                <w:rStyle w:val="19"/>
                <w:lang w:val="en-US" w:eastAsia="zh-CN" w:bidi="ar"/>
              </w:rPr>
              <w:t>5</w:t>
            </w:r>
            <w:r>
              <w:rPr>
                <w:rFonts w:hint="default" w:ascii="仿宋_GB2312" w:hAnsi="宋体" w:eastAsia="仿宋_GB2312" w:cs="仿宋_GB2312"/>
                <w:i w:val="0"/>
                <w:color w:val="000000"/>
                <w:kern w:val="0"/>
                <w:sz w:val="20"/>
                <w:szCs w:val="20"/>
                <w:u w:val="none"/>
                <w:lang w:val="en-US" w:eastAsia="zh-CN" w:bidi="ar"/>
              </w:rPr>
              <w:t>分；</w:t>
            </w:r>
            <w:r>
              <w:rPr>
                <w:rStyle w:val="19"/>
                <w:lang w:val="en-US" w:eastAsia="zh-CN" w:bidi="ar"/>
              </w:rPr>
              <w:t>0-5%（含），计4分；5-10%（含），计3分；10-20%（含），计2分；大于20%，不得分。</w:t>
            </w:r>
          </w:p>
        </w:tc>
      </w:tr>
      <w:tr>
        <w:tblPrEx>
          <w:tblCellMar>
            <w:top w:w="0" w:type="dxa"/>
            <w:left w:w="0" w:type="dxa"/>
            <w:bottom w:w="0" w:type="dxa"/>
            <w:right w:w="0" w:type="dxa"/>
          </w:tblCellMar>
        </w:tblPrEx>
        <w:trPr>
          <w:trHeight w:val="705"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 xml:space="preserve">预算控制率=（本年追加预算/年初预算）*100% </w:t>
            </w:r>
          </w:p>
        </w:tc>
        <w:tc>
          <w:tcPr>
            <w:tcW w:w="188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8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383"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“三公经费”控制率（5分）</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316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部门本年度“三公经费”实际支出数与预算安排数的比率，用以反映和考核部门对“三公经费”的实际控制程度。</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100%以下（含）计满分，每超出1%扣1分，扣完为止。</w:t>
            </w:r>
          </w:p>
        </w:tc>
      </w:tr>
      <w:tr>
        <w:tblPrEx>
          <w:tblCellMar>
            <w:top w:w="0" w:type="dxa"/>
            <w:left w:w="0" w:type="dxa"/>
            <w:bottom w:w="0" w:type="dxa"/>
            <w:right w:w="0" w:type="dxa"/>
          </w:tblCellMar>
        </w:tblPrEx>
        <w:trPr>
          <w:trHeight w:val="1044"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“三公经费”控制率=（“三公经费”实际支出数/“三公经费”预算安排数）×100%</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2401"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公用经费控制率（5</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w:t>
            </w:r>
          </w:p>
        </w:tc>
        <w:tc>
          <w:tcPr>
            <w:tcW w:w="31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通过对部门本年度实际支出的公用经费总额与预算安排的公用经费总额的比率，反映和评价部门对机构运转成本的实际控制程度。</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公用经费控制率=（实际支出公用经费总额/预算安排公用经费总额）×100%。</w:t>
            </w:r>
          </w:p>
        </w:tc>
        <w:tc>
          <w:tcPr>
            <w:tcW w:w="1883" w:type="dxa"/>
            <w:tcBorders>
              <w:top w:val="single" w:color="000000" w:sz="4" w:space="0"/>
              <w:left w:val="nil"/>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100%以下（含）计满分，每超出1%扣1分，扣完为止。</w:t>
            </w:r>
          </w:p>
        </w:tc>
      </w:tr>
      <w:tr>
        <w:tblPrEx>
          <w:tblCellMar>
            <w:top w:w="0" w:type="dxa"/>
            <w:left w:w="0" w:type="dxa"/>
            <w:bottom w:w="0" w:type="dxa"/>
            <w:right w:w="0" w:type="dxa"/>
          </w:tblCellMar>
        </w:tblPrEx>
        <w:trPr>
          <w:trHeight w:val="1383"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政府采购执行率（4</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w:t>
            </w:r>
          </w:p>
        </w:tc>
        <w:tc>
          <w:tcPr>
            <w:tcW w:w="316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通过对部门本年度实际政府采购金额与年初政府采购预算的比率，反映和评价部门政府采购预算执行情况。</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100%计满分，每超过（降低）5%扣2分，扣完为止。</w:t>
            </w:r>
          </w:p>
        </w:tc>
      </w:tr>
      <w:tr>
        <w:tblPrEx>
          <w:tblCellMar>
            <w:top w:w="0" w:type="dxa"/>
            <w:left w:w="0" w:type="dxa"/>
            <w:bottom w:w="0" w:type="dxa"/>
            <w:right w:w="0" w:type="dxa"/>
          </w:tblCellMar>
        </w:tblPrEx>
        <w:trPr>
          <w:trHeight w:val="705"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政府采购执行率</w:t>
            </w:r>
            <w:r>
              <w:rPr>
                <w:rStyle w:val="19"/>
                <w:lang w:val="en-US" w:eastAsia="zh-CN" w:bidi="ar"/>
              </w:rPr>
              <w:t>=</w:t>
            </w:r>
            <w:r>
              <w:rPr>
                <w:rFonts w:hint="default" w:ascii="仿宋_GB2312" w:hAnsi="宋体" w:eastAsia="仿宋_GB2312" w:cs="仿宋_GB2312"/>
                <w:i w:val="0"/>
                <w:color w:val="000000"/>
                <w:kern w:val="0"/>
                <w:sz w:val="20"/>
                <w:szCs w:val="20"/>
                <w:u w:val="none"/>
                <w:lang w:val="en-US" w:eastAsia="zh-CN" w:bidi="ar"/>
              </w:rPr>
              <w:t>（实际政府采购金额</w:t>
            </w:r>
            <w:r>
              <w:rPr>
                <w:rStyle w:val="19"/>
                <w:lang w:val="en-US" w:eastAsia="zh-CN" w:bidi="ar"/>
              </w:rPr>
              <w:t>/</w:t>
            </w:r>
            <w:r>
              <w:rPr>
                <w:rFonts w:hint="default" w:ascii="仿宋_GB2312" w:hAnsi="宋体" w:eastAsia="仿宋_GB2312" w:cs="仿宋_GB2312"/>
                <w:i w:val="0"/>
                <w:color w:val="000000"/>
                <w:kern w:val="0"/>
                <w:sz w:val="20"/>
                <w:szCs w:val="20"/>
                <w:u w:val="none"/>
                <w:lang w:val="en-US" w:eastAsia="zh-CN" w:bidi="ar"/>
              </w:rPr>
              <w:t>政府采购预算数）×</w:t>
            </w:r>
            <w:r>
              <w:rPr>
                <w:rStyle w:val="19"/>
                <w:lang w:val="en-US" w:eastAsia="zh-CN" w:bidi="ar"/>
              </w:rPr>
              <w:t>100%</w:t>
            </w:r>
            <w:r>
              <w:rPr>
                <w:rFonts w:hint="default" w:ascii="仿宋_GB2312" w:hAnsi="宋体" w:eastAsia="仿宋_GB2312" w:cs="仿宋_GB2312"/>
                <w:i w:val="0"/>
                <w:color w:val="000000"/>
                <w:kern w:val="0"/>
                <w:sz w:val="20"/>
                <w:szCs w:val="20"/>
                <w:u w:val="none"/>
                <w:lang w:val="en-US" w:eastAsia="zh-CN" w:bidi="ar"/>
              </w:rPr>
              <w:t>。</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383"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预算管理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（12分）</w:t>
            </w:r>
          </w:p>
        </w:tc>
        <w:tc>
          <w:tcPr>
            <w:tcW w:w="998"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资金使用合规性（6</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3163" w:type="dxa"/>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部门使用预算资金是否符合相关的预算财务管理制度的规定，反映和评价部门预算资金的规范运行情况。</w:t>
            </w:r>
          </w:p>
        </w:tc>
        <w:tc>
          <w:tcPr>
            <w:tcW w:w="1883" w:type="dxa"/>
            <w:vMerge w:val="restart"/>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以上情况每出现一例不符合要求的扣1分，扣完为止。</w:t>
            </w:r>
          </w:p>
        </w:tc>
      </w:tr>
      <w:tr>
        <w:tblPrEx>
          <w:shd w:val="clear" w:color="auto" w:fill="auto"/>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评价要点：</w:t>
            </w:r>
          </w:p>
        </w:tc>
        <w:tc>
          <w:tcPr>
            <w:tcW w:w="188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044"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1.符合国家财经法规和财务管理制度规定以及有关部门资金管理办法的规定；</w:t>
            </w:r>
          </w:p>
        </w:tc>
        <w:tc>
          <w:tcPr>
            <w:tcW w:w="188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705"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2.资金的拨付有完整的审批过程和手续；</w:t>
            </w:r>
          </w:p>
        </w:tc>
        <w:tc>
          <w:tcPr>
            <w:tcW w:w="188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3.项目的重大开支经过评估论证；</w:t>
            </w:r>
          </w:p>
        </w:tc>
        <w:tc>
          <w:tcPr>
            <w:tcW w:w="188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4.符合部门预算批复的用途；</w:t>
            </w:r>
          </w:p>
        </w:tc>
        <w:tc>
          <w:tcPr>
            <w:tcW w:w="188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single" w:color="000000" w:sz="4" w:space="0"/>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5.不存在截留、挤占、挪用情况；</w:t>
            </w:r>
          </w:p>
        </w:tc>
        <w:tc>
          <w:tcPr>
            <w:tcW w:w="188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6.不存在虚列支出等情况。</w:t>
            </w:r>
          </w:p>
        </w:tc>
        <w:tc>
          <w:tcPr>
            <w:tcW w:w="1883"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383"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预决算信息公开性（3</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部门是否按照政府信息公开有关规定公开相关预决算信息，用以反映和评价部门预决算管理的公开透明情况。</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全部符合计3</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符合其中一项计</w:t>
            </w:r>
            <w:r>
              <w:rPr>
                <w:rStyle w:val="19"/>
                <w:lang w:val="en-US" w:eastAsia="zh-CN" w:bidi="ar"/>
              </w:rPr>
              <w:t>1分</w:t>
            </w:r>
            <w:r>
              <w:rPr>
                <w:rFonts w:hint="default" w:ascii="仿宋_GB2312" w:hAnsi="宋体" w:eastAsia="仿宋_GB2312" w:cs="仿宋_GB2312"/>
                <w:i w:val="0"/>
                <w:color w:val="000000"/>
                <w:kern w:val="0"/>
                <w:sz w:val="20"/>
                <w:szCs w:val="20"/>
                <w:u w:val="none"/>
                <w:lang w:val="en-US" w:eastAsia="zh-CN" w:bidi="ar"/>
              </w:rPr>
              <w:t>。</w:t>
            </w:r>
          </w:p>
        </w:tc>
      </w:tr>
      <w:tr>
        <w:tblPrEx>
          <w:tblCellMar>
            <w:top w:w="0" w:type="dxa"/>
            <w:left w:w="0" w:type="dxa"/>
            <w:bottom w:w="0" w:type="dxa"/>
            <w:right w:w="0" w:type="dxa"/>
          </w:tblCellMar>
        </w:tblPrEx>
        <w:trPr>
          <w:trHeight w:val="1044"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预决算信息是指与部门预算、执行、决算、监督、绩效等管理相关的信息。</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评价要点：</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1.公开预决算信息；</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2.按规定内容公开预决算信息；</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3.按规定时限公开预决算信息。</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管理制度健全性（3</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部门为加强预算管理、规范财务行为而制定的管理制度是否健全完整，用以反映和考核部门预算管理制度对完成主要职责或促进事业发展的保障情况。</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评价要点：</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1.是否已制定或具有预算资金管理办法、内部财务管理制度、会计核算制度等管理制度；</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2.相关管理制度是否合法、合规、完整；</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3.相关管理制度是否得到有效执行。</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全部符合计3</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符合其中一项计1分。</w:t>
            </w: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31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2659"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044"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资产管理（6</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资产管理完整性（</w:t>
            </w:r>
            <w:r>
              <w:rPr>
                <w:rStyle w:val="19"/>
                <w:lang w:val="en-US" w:eastAsia="zh-CN" w:bidi="ar"/>
              </w:rPr>
              <w:t>3分</w:t>
            </w:r>
            <w:r>
              <w:rPr>
                <w:rFonts w:hint="default" w:ascii="仿宋_GB2312" w:hAnsi="宋体" w:eastAsia="仿宋_GB2312" w:cs="仿宋_GB2312"/>
                <w:i w:val="0"/>
                <w:color w:val="000000"/>
                <w:kern w:val="0"/>
                <w:sz w:val="20"/>
                <w:szCs w:val="20"/>
                <w:u w:val="none"/>
                <w:lang w:val="en-US" w:eastAsia="zh-CN" w:bidi="ar"/>
              </w:rPr>
              <w:t>）</w:t>
            </w:r>
          </w:p>
        </w:tc>
        <w:tc>
          <w:tcPr>
            <w:tcW w:w="632"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single" w:color="000000" w:sz="4" w:space="0"/>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部门的资产是否保存完整、使用合规、收入及时足额上缴，用以反映和评价部门资产运行情况。</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全部符合计3分；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符合其中一项计1分。</w:t>
            </w: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评价要点：</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1.资产保存完整；</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705"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2.资产账务管理是否合规，帐实相符；</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705"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3.资产有偿使用及处置收入及时足额上缴。</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044"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固定资产利用率（3</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w:t>
            </w:r>
          </w:p>
        </w:tc>
        <w:tc>
          <w:tcPr>
            <w:tcW w:w="3163" w:type="dxa"/>
            <w:tcBorders>
              <w:top w:val="nil"/>
              <w:left w:val="nil"/>
              <w:bottom w:val="nil"/>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部门实际在用固定资产总额与所有固定资产总额的比率，用以反映和评价部门固定资产使用效率</w:t>
            </w:r>
            <w:r>
              <w:rPr>
                <w:rStyle w:val="19"/>
                <w:lang w:val="en-US" w:eastAsia="zh-CN" w:bidi="ar"/>
              </w:rPr>
              <w:t>。</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100%计满分，每低于5%扣1分，扣完为止。</w:t>
            </w:r>
          </w:p>
        </w:tc>
      </w:tr>
      <w:tr>
        <w:tblPrEx>
          <w:shd w:val="clear" w:color="auto" w:fill="auto"/>
          <w:tblCellMar>
            <w:top w:w="0" w:type="dxa"/>
            <w:left w:w="0" w:type="dxa"/>
            <w:bottom w:w="0" w:type="dxa"/>
            <w:right w:w="0" w:type="dxa"/>
          </w:tblCellMar>
        </w:tblPrEx>
        <w:trPr>
          <w:trHeight w:val="1044" w:hRule="atLeast"/>
        </w:trPr>
        <w:tc>
          <w:tcPr>
            <w:tcW w:w="859" w:type="dxa"/>
            <w:vMerge w:val="continue"/>
            <w:tcBorders>
              <w:top w:val="single" w:color="000000" w:sz="4" w:space="0"/>
              <w:left w:val="single" w:color="000000" w:sz="4" w:space="0"/>
              <w:bottom w:val="nil"/>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nil"/>
              <w:left w:val="nil"/>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固定资产利用率</w:t>
            </w:r>
            <w:r>
              <w:rPr>
                <w:rStyle w:val="19"/>
                <w:lang w:val="en-US" w:eastAsia="zh-CN" w:bidi="ar"/>
              </w:rPr>
              <w:t>=</w:t>
            </w:r>
            <w:r>
              <w:rPr>
                <w:rFonts w:hint="default" w:ascii="仿宋_GB2312" w:hAnsi="宋体" w:eastAsia="仿宋_GB2312" w:cs="仿宋_GB2312"/>
                <w:i w:val="0"/>
                <w:color w:val="000000"/>
                <w:kern w:val="0"/>
                <w:sz w:val="20"/>
                <w:szCs w:val="20"/>
                <w:u w:val="none"/>
                <w:lang w:val="en-US" w:eastAsia="zh-CN" w:bidi="ar"/>
              </w:rPr>
              <w:t>（实际在用固定资产总额</w:t>
            </w:r>
            <w:r>
              <w:rPr>
                <w:rStyle w:val="19"/>
                <w:lang w:val="en-US" w:eastAsia="zh-CN" w:bidi="ar"/>
              </w:rPr>
              <w:t>/</w:t>
            </w:r>
            <w:r>
              <w:rPr>
                <w:rFonts w:hint="default" w:ascii="仿宋_GB2312" w:hAnsi="宋体" w:eastAsia="仿宋_GB2312" w:cs="仿宋_GB2312"/>
                <w:i w:val="0"/>
                <w:color w:val="000000"/>
                <w:kern w:val="0"/>
                <w:sz w:val="20"/>
                <w:szCs w:val="20"/>
                <w:u w:val="none"/>
                <w:lang w:val="en-US" w:eastAsia="zh-CN" w:bidi="ar"/>
              </w:rPr>
              <w:t>所有固定资产总额）×</w:t>
            </w:r>
            <w:r>
              <w:rPr>
                <w:rStyle w:val="19"/>
                <w:lang w:val="en-US" w:eastAsia="zh-CN" w:bidi="ar"/>
              </w:rPr>
              <w:t>100%</w:t>
            </w:r>
            <w:r>
              <w:rPr>
                <w:rFonts w:hint="default" w:ascii="仿宋_GB2312" w:hAnsi="宋体" w:eastAsia="仿宋_GB2312" w:cs="仿宋_GB2312"/>
                <w:i w:val="0"/>
                <w:color w:val="000000"/>
                <w:kern w:val="0"/>
                <w:sz w:val="20"/>
                <w:szCs w:val="20"/>
                <w:u w:val="none"/>
                <w:lang w:val="en-US" w:eastAsia="zh-CN" w:bidi="ar"/>
              </w:rPr>
              <w:t>。</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366" w:hRule="atLeast"/>
        </w:trPr>
        <w:tc>
          <w:tcPr>
            <w:tcW w:w="8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产出</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（20分）</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职责履行</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（20分）</w:t>
            </w:r>
          </w:p>
        </w:tc>
        <w:tc>
          <w:tcPr>
            <w:tcW w:w="998"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重点工作实际完成率（20</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19</w:t>
            </w:r>
          </w:p>
        </w:tc>
        <w:tc>
          <w:tcPr>
            <w:tcW w:w="316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部门年度重点工作实际完成数与交办或下达数的比率，用以反映部门对重点工作的办理落实程度。</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重点工作实际完成率=（重点工作实际完成数/交办或下达数）*100%</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重点工作是指县委、政府、人大、相关部门交办或下达的工作任务。</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根据县委、政府、人大相关部门2019年对各部门为民办实事和部门重点工程与重点工作考核分数折算。</w:t>
            </w:r>
          </w:p>
        </w:tc>
      </w:tr>
      <w:tr>
        <w:tblPrEx>
          <w:tblCellMar>
            <w:top w:w="0" w:type="dxa"/>
            <w:left w:w="0" w:type="dxa"/>
            <w:bottom w:w="0" w:type="dxa"/>
            <w:right w:w="0" w:type="dxa"/>
          </w:tblCellMar>
        </w:tblPrEx>
        <w:trPr>
          <w:trHeight w:val="366"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1668"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998"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rPr>
                <w:rFonts w:hint="default" w:ascii="仿宋_GB2312" w:hAnsi="宋体" w:eastAsia="仿宋_GB2312" w:cs="仿宋_GB2312"/>
                <w:i w:val="0"/>
                <w:color w:val="000000"/>
                <w:sz w:val="20"/>
                <w:szCs w:val="20"/>
                <w:u w:val="none"/>
              </w:rPr>
            </w:pP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仿宋_GB2312" w:hAnsi="宋体" w:eastAsia="仿宋_GB2312" w:cs="仿宋_GB2312"/>
                <w:i w:val="0"/>
                <w:color w:val="000000"/>
                <w:sz w:val="20"/>
                <w:szCs w:val="20"/>
                <w:u w:val="none"/>
              </w:rPr>
            </w:pP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705" w:hRule="atLeast"/>
        </w:trPr>
        <w:tc>
          <w:tcPr>
            <w:tcW w:w="85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效果</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（2</w:t>
            </w:r>
            <w:r>
              <w:rPr>
                <w:rStyle w:val="19"/>
                <w:lang w:val="en-US" w:eastAsia="zh-CN" w:bidi="ar"/>
              </w:rPr>
              <w:t>8分</w:t>
            </w:r>
            <w:r>
              <w:rPr>
                <w:rFonts w:hint="default" w:ascii="仿宋_GB2312" w:hAnsi="宋体" w:eastAsia="仿宋_GB2312" w:cs="仿宋_GB2312"/>
                <w:i w:val="0"/>
                <w:color w:val="000000"/>
                <w:kern w:val="0"/>
                <w:sz w:val="20"/>
                <w:szCs w:val="20"/>
                <w:u w:val="none"/>
                <w:lang w:val="en-US" w:eastAsia="zh-CN" w:bidi="ar"/>
              </w:rPr>
              <w:t>）</w:t>
            </w:r>
          </w:p>
        </w:tc>
        <w:tc>
          <w:tcPr>
            <w:tcW w:w="90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履职效益（2</w:t>
            </w:r>
            <w:r>
              <w:rPr>
                <w:rStyle w:val="19"/>
                <w:lang w:val="en-US" w:eastAsia="zh-CN" w:bidi="ar"/>
              </w:rPr>
              <w:t>8分</w:t>
            </w:r>
            <w:r>
              <w:rPr>
                <w:rFonts w:hint="default" w:ascii="仿宋_GB2312" w:hAnsi="宋体" w:eastAsia="仿宋_GB2312" w:cs="仿宋_GB2312"/>
                <w:i w:val="0"/>
                <w:color w:val="000000"/>
                <w:kern w:val="0"/>
                <w:sz w:val="20"/>
                <w:szCs w:val="20"/>
                <w:u w:val="none"/>
                <w:lang w:val="en-US" w:eastAsia="zh-CN" w:bidi="ar"/>
              </w:rPr>
              <w:t>）</w:t>
            </w: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经济效益（5分）</w:t>
            </w:r>
          </w:p>
        </w:tc>
        <w:tc>
          <w:tcPr>
            <w:tcW w:w="632"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31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部门履行职责对经济发展带来的直接或间接影响</w:t>
            </w:r>
          </w:p>
        </w:tc>
        <w:tc>
          <w:tcPr>
            <w:tcW w:w="1883"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此两项指标为设置部门整体支出绩效评价指标时必须考虑的共性要素,可根据部门实际情况有选择地进行设置，并将其细化为相应的个性化指标。</w:t>
            </w:r>
          </w:p>
        </w:tc>
      </w:tr>
      <w:tr>
        <w:tblPrEx>
          <w:tblCellMar>
            <w:top w:w="0" w:type="dxa"/>
            <w:left w:w="0" w:type="dxa"/>
            <w:bottom w:w="0" w:type="dxa"/>
            <w:right w:w="0" w:type="dxa"/>
          </w:tblCellMar>
        </w:tblPrEx>
        <w:trPr>
          <w:trHeight w:val="2035"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社会效益</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（5分）</w:t>
            </w:r>
          </w:p>
        </w:tc>
        <w:tc>
          <w:tcPr>
            <w:tcW w:w="63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31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部门履行职责对社会发展带来的直接或间接影响</w:t>
            </w:r>
          </w:p>
        </w:tc>
        <w:tc>
          <w:tcPr>
            <w:tcW w:w="1883"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top"/>
          </w:tcPr>
          <w:p>
            <w:pPr>
              <w:jc w:val="left"/>
              <w:rPr>
                <w:rFonts w:hint="default" w:ascii="仿宋_GB2312" w:hAnsi="宋体" w:eastAsia="仿宋_GB2312" w:cs="仿宋_GB2312"/>
                <w:i w:val="0"/>
                <w:color w:val="000000"/>
                <w:sz w:val="20"/>
                <w:szCs w:val="20"/>
                <w:u w:val="none"/>
              </w:rPr>
            </w:pPr>
          </w:p>
        </w:tc>
      </w:tr>
      <w:tr>
        <w:tblPrEx>
          <w:tblCellMar>
            <w:top w:w="0" w:type="dxa"/>
            <w:left w:w="0" w:type="dxa"/>
            <w:bottom w:w="0" w:type="dxa"/>
            <w:right w:w="0" w:type="dxa"/>
          </w:tblCellMar>
        </w:tblPrEx>
        <w:trPr>
          <w:trHeight w:val="705"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行政效能</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（9分）</w:t>
            </w:r>
          </w:p>
        </w:tc>
        <w:tc>
          <w:tcPr>
            <w:tcW w:w="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w:t>
            </w:r>
          </w:p>
        </w:tc>
        <w:tc>
          <w:tcPr>
            <w:tcW w:w="31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部门改进文风会风，加强经费及资产管理，推动网上办事，提高行政效率,降低行政成本的效果。</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根据部门评价材料评定。</w:t>
            </w:r>
          </w:p>
        </w:tc>
        <w:tc>
          <w:tcPr>
            <w:tcW w:w="1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效果较好的计9分；一般6分；无效果或者效果不明显0分</w:t>
            </w:r>
          </w:p>
        </w:tc>
      </w:tr>
      <w:tr>
        <w:tblPrEx>
          <w:tblCellMar>
            <w:top w:w="0" w:type="dxa"/>
            <w:left w:w="0" w:type="dxa"/>
            <w:bottom w:w="0" w:type="dxa"/>
            <w:right w:w="0" w:type="dxa"/>
          </w:tblCellMar>
        </w:tblPrEx>
        <w:trPr>
          <w:trHeight w:val="2740" w:hRule="atLeast"/>
        </w:trPr>
        <w:tc>
          <w:tcPr>
            <w:tcW w:w="85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02"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99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社会公众或服务对象满意度（9</w:t>
            </w:r>
            <w:r>
              <w:rPr>
                <w:rStyle w:val="19"/>
                <w:lang w:val="en-US" w:eastAsia="zh-CN" w:bidi="ar"/>
              </w:rPr>
              <w:t>分</w:t>
            </w:r>
            <w:r>
              <w:rPr>
                <w:rFonts w:hint="default" w:ascii="仿宋_GB2312" w:hAnsi="宋体" w:eastAsia="仿宋_GB2312" w:cs="仿宋_GB2312"/>
                <w:i w:val="0"/>
                <w:color w:val="000000"/>
                <w:kern w:val="0"/>
                <w:sz w:val="20"/>
                <w:szCs w:val="20"/>
                <w:u w:val="none"/>
                <w:lang w:val="en-US" w:eastAsia="zh-CN" w:bidi="ar"/>
              </w:rPr>
              <w:t>）</w:t>
            </w:r>
          </w:p>
        </w:tc>
        <w:tc>
          <w:tcPr>
            <w:tcW w:w="6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w:t>
            </w:r>
          </w:p>
        </w:tc>
        <w:tc>
          <w:tcPr>
            <w:tcW w:w="316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社会公众或部门的服务对象对部门履职效果的满意程度。（一般采取社会调查的方式）</w:t>
            </w:r>
          </w:p>
        </w:tc>
        <w:tc>
          <w:tcPr>
            <w:tcW w:w="188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100%计9分；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90%（含）以上计8分；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80%（含）-90%计6分；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60%（含）-80%计3分；</w:t>
            </w:r>
            <w:r>
              <w:rPr>
                <w:rFonts w:hint="default" w:ascii="仿宋_GB2312" w:hAnsi="宋体" w:eastAsia="仿宋_GB2312" w:cs="仿宋_GB2312"/>
                <w:i w:val="0"/>
                <w:color w:val="000000"/>
                <w:kern w:val="0"/>
                <w:sz w:val="20"/>
                <w:szCs w:val="20"/>
                <w:u w:val="none"/>
                <w:lang w:val="en-US" w:eastAsia="zh-CN" w:bidi="ar"/>
              </w:rPr>
              <w:br w:type="textWrapping"/>
            </w:r>
            <w:r>
              <w:rPr>
                <w:rFonts w:hint="default" w:ascii="仿宋_GB2312" w:hAnsi="宋体" w:eastAsia="仿宋_GB2312" w:cs="仿宋_GB2312"/>
                <w:i w:val="0"/>
                <w:color w:val="000000"/>
                <w:kern w:val="0"/>
                <w:sz w:val="20"/>
                <w:szCs w:val="20"/>
                <w:u w:val="none"/>
                <w:lang w:val="en-US" w:eastAsia="zh-CN" w:bidi="ar"/>
              </w:rPr>
              <w:t>低于60%计0分</w:t>
            </w:r>
          </w:p>
        </w:tc>
      </w:tr>
      <w:tr>
        <w:tblPrEx>
          <w:tblCellMar>
            <w:top w:w="0" w:type="dxa"/>
            <w:left w:w="0" w:type="dxa"/>
            <w:bottom w:w="0" w:type="dxa"/>
            <w:right w:w="0" w:type="dxa"/>
          </w:tblCellMar>
        </w:tblPrEx>
        <w:trPr>
          <w:trHeight w:val="1044" w:hRule="atLeast"/>
        </w:trPr>
        <w:tc>
          <w:tcPr>
            <w:tcW w:w="843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说明：各单位在实际工作中如有特殊情况，可对三级指标及分值在所属二级指标范围内</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做适当调整，但加总后应等于100分。</w:t>
            </w:r>
          </w:p>
        </w:tc>
      </w:tr>
    </w:tbl>
    <w:p>
      <w:pPr>
        <w:ind w:firstLine="630"/>
        <w:jc w:val="left"/>
        <w:rPr>
          <w:rFonts w:hint="eastAsia" w:ascii="仿宋" w:hAnsi="仿宋" w:eastAsia="仿宋"/>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6"/>
        <w:tblpPr w:leftFromText="180" w:rightFromText="180" w:vertAnchor="text" w:horzAnchor="page" w:tblpX="1432" w:tblpY="-6"/>
        <w:tblOverlap w:val="never"/>
        <w:tblW w:w="9077" w:type="dxa"/>
        <w:tblInd w:w="0" w:type="dxa"/>
        <w:shd w:val="clear" w:color="auto" w:fill="auto"/>
        <w:tblLayout w:type="fixed"/>
        <w:tblCellMar>
          <w:top w:w="0" w:type="dxa"/>
          <w:left w:w="0" w:type="dxa"/>
          <w:bottom w:w="0" w:type="dxa"/>
          <w:right w:w="0" w:type="dxa"/>
        </w:tblCellMar>
      </w:tblPr>
      <w:tblGrid>
        <w:gridCol w:w="2725"/>
        <w:gridCol w:w="1209"/>
        <w:gridCol w:w="1442"/>
        <w:gridCol w:w="1370"/>
        <w:gridCol w:w="1385"/>
        <w:gridCol w:w="946"/>
      </w:tblGrid>
      <w:tr>
        <w:tblPrEx>
          <w:tblCellMar>
            <w:top w:w="0" w:type="dxa"/>
            <w:left w:w="0" w:type="dxa"/>
            <w:bottom w:w="0" w:type="dxa"/>
            <w:right w:w="0" w:type="dxa"/>
          </w:tblCellMar>
        </w:tblPrEx>
        <w:trPr>
          <w:trHeight w:val="346" w:hRule="atLeast"/>
        </w:trPr>
        <w:tc>
          <w:tcPr>
            <w:tcW w:w="2725" w:type="dxa"/>
            <w:tcBorders>
              <w:top w:val="nil"/>
              <w:left w:val="nil"/>
              <w:bottom w:val="nil"/>
              <w:right w:val="nil"/>
            </w:tcBorders>
            <w:shd w:val="clear" w:color="auto" w:fill="auto"/>
            <w:noWrap/>
            <w:tcMar>
              <w:top w:w="15" w:type="dxa"/>
              <w:left w:w="15" w:type="dxa"/>
              <w:right w:w="15" w:type="dxa"/>
            </w:tcMar>
            <w:vAlign w:val="center"/>
          </w:tcPr>
          <w:p>
            <w:pPr>
              <w:jc w:val="left"/>
              <w:rPr>
                <w:rFonts w:hint="default" w:ascii="宋体" w:hAnsi="宋体" w:eastAsia="宋体" w:cs="宋体"/>
                <w:i w:val="0"/>
                <w:color w:val="000000"/>
                <w:sz w:val="22"/>
                <w:szCs w:val="22"/>
                <w:u w:val="none"/>
                <w:lang w:val="en-US"/>
              </w:rPr>
            </w:pPr>
            <w:r>
              <w:rPr>
                <w:rFonts w:hint="eastAsia" w:ascii="仿宋" w:hAnsi="仿宋" w:eastAsia="仿宋"/>
                <w:sz w:val="32"/>
                <w:szCs w:val="32"/>
              </w:rPr>
              <w:br w:type="page"/>
            </w:r>
            <w:r>
              <w:rPr>
                <w:rFonts w:hint="eastAsia" w:ascii="仿宋" w:hAnsi="仿宋" w:eastAsia="仿宋"/>
                <w:sz w:val="32"/>
                <w:szCs w:val="32"/>
              </w:rPr>
              <w:br w:type="page"/>
            </w:r>
            <w:r>
              <w:rPr>
                <w:rFonts w:hint="eastAsia" w:ascii="宋体" w:hAnsi="宋体" w:eastAsia="宋体" w:cs="宋体"/>
                <w:i w:val="0"/>
                <w:color w:val="000000"/>
                <w:kern w:val="0"/>
                <w:sz w:val="22"/>
                <w:szCs w:val="22"/>
                <w:u w:val="none"/>
                <w:lang w:val="en-US" w:eastAsia="zh-CN" w:bidi="ar"/>
              </w:rPr>
              <w:t>附件：</w:t>
            </w:r>
            <w:r>
              <w:rPr>
                <w:rFonts w:hint="eastAsia" w:ascii="宋体" w:hAnsi="宋体" w:cs="宋体"/>
                <w:i w:val="0"/>
                <w:color w:val="000000"/>
                <w:kern w:val="0"/>
                <w:sz w:val="22"/>
                <w:szCs w:val="22"/>
                <w:u w:val="none"/>
                <w:lang w:val="en-US" w:eastAsia="zh-CN" w:bidi="ar"/>
              </w:rPr>
              <w:t>2</w:t>
            </w:r>
          </w:p>
        </w:tc>
        <w:tc>
          <w:tcPr>
            <w:tcW w:w="120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4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7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85"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46"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76" w:hRule="atLeast"/>
        </w:trPr>
        <w:tc>
          <w:tcPr>
            <w:tcW w:w="9077" w:type="dxa"/>
            <w:gridSpan w:val="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4"/>
                <w:szCs w:val="44"/>
                <w:u w:val="none"/>
              </w:rPr>
            </w:pPr>
            <w:r>
              <w:rPr>
                <w:rFonts w:hint="eastAsia" w:ascii="黑体" w:hAnsi="宋体" w:eastAsia="黑体" w:cs="黑体"/>
                <w:i w:val="0"/>
                <w:color w:val="000000"/>
                <w:kern w:val="0"/>
                <w:sz w:val="44"/>
                <w:szCs w:val="44"/>
                <w:u w:val="none"/>
                <w:lang w:val="en-US" w:eastAsia="zh-CN" w:bidi="ar"/>
              </w:rPr>
              <w:t>2021年收支明细表</w:t>
            </w:r>
          </w:p>
        </w:tc>
      </w:tr>
      <w:tr>
        <w:tblPrEx>
          <w:shd w:val="clear" w:color="auto" w:fill="auto"/>
          <w:tblCellMar>
            <w:top w:w="0" w:type="dxa"/>
            <w:left w:w="0" w:type="dxa"/>
            <w:bottom w:w="0" w:type="dxa"/>
            <w:right w:w="0" w:type="dxa"/>
          </w:tblCellMar>
        </w:tblPrEx>
        <w:trPr>
          <w:trHeight w:val="346" w:hRule="atLeast"/>
        </w:trPr>
        <w:tc>
          <w:tcPr>
            <w:tcW w:w="272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20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442"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37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2331"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单位：元</w:t>
            </w: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年初结余</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本年收入</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本年支出</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年末结余</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备注</w:t>
            </w: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总  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554252.43</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4861730.35</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4513106.85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902875.93</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b/>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基本支出（合计）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134512.1</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3496730.35</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3600511.73</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30730.72</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工资部分</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132863.34</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3102930.35</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3226519.95</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9273.74</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101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公用经费</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1648.76</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393800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373,991.78</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21456.98</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上缴21060.5元</w:t>
            </w: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项目支出（合计）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121044.33</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1165000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854645.12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431399.21</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20"/>
                <w:lang w:val="en-US" w:eastAsia="zh-CN" w:bidi="ar"/>
              </w:rPr>
              <w:t xml:space="preserve">  </w:t>
            </w:r>
            <w:r>
              <w:rPr>
                <w:rFonts w:hint="eastAsia" w:ascii="仿宋" w:hAnsi="仿宋" w:eastAsia="仿宋" w:cs="仿宋"/>
                <w:b/>
                <w:i w:val="0"/>
                <w:color w:val="000000"/>
                <w:kern w:val="0"/>
                <w:sz w:val="24"/>
                <w:szCs w:val="24"/>
                <w:u w:val="none"/>
                <w:lang w:val="en-US" w:eastAsia="zh-CN" w:bidi="ar"/>
              </w:rPr>
              <w:t>本级财力小计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119954.11</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1165000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853554.9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431399.21</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年初预算小计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119954.11</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1165000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853554.9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431399.21</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101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其中：投资审计工程审核费</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360916.00 </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239084</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上缴239084元</w:t>
            </w:r>
          </w:p>
        </w:tc>
      </w:tr>
      <w:tr>
        <w:tblPrEx>
          <w:shd w:val="clear" w:color="auto" w:fill="auto"/>
          <w:tblCellMar>
            <w:top w:w="0" w:type="dxa"/>
            <w:left w:w="0" w:type="dxa"/>
            <w:bottom w:w="0" w:type="dxa"/>
            <w:right w:w="0" w:type="dxa"/>
          </w:tblCellMar>
        </w:tblPrEx>
        <w:trPr>
          <w:trHeight w:val="68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乡村振兴帮扶保障</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25000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101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审计业务经费</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119954.11</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327638.9</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192315.21</w:t>
            </w:r>
          </w:p>
        </w:tc>
        <w:tc>
          <w:tcPr>
            <w:tcW w:w="9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上缴190755.1元</w:t>
            </w:r>
          </w:p>
        </w:tc>
      </w:tr>
      <w:tr>
        <w:tblPrEx>
          <w:shd w:val="clear" w:color="auto" w:fill="auto"/>
          <w:tblCellMar>
            <w:top w:w="0" w:type="dxa"/>
            <w:left w:w="0" w:type="dxa"/>
            <w:bottom w:w="0" w:type="dxa"/>
            <w:right w:w="0" w:type="dxa"/>
          </w:tblCellMar>
        </w:tblPrEx>
        <w:trPr>
          <w:trHeight w:val="68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办公用房及卫生间维修</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140000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FF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追加预算小计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其中：</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Style w:val="20"/>
                <w:lang w:val="en-US" w:eastAsia="zh-CN" w:bidi="ar"/>
              </w:rPr>
              <w:t xml:space="preserve">  </w:t>
            </w:r>
            <w:r>
              <w:rPr>
                <w:rFonts w:hint="eastAsia" w:ascii="仿宋" w:hAnsi="仿宋" w:eastAsia="仿宋" w:cs="仿宋"/>
                <w:b/>
                <w:i w:val="0"/>
                <w:color w:val="000000"/>
                <w:kern w:val="0"/>
                <w:sz w:val="24"/>
                <w:szCs w:val="24"/>
                <w:u w:val="none"/>
                <w:lang w:val="en-US" w:eastAsia="zh-CN" w:bidi="ar"/>
              </w:rPr>
              <w:t>上级专项资金小计</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1090.22</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1090.22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68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其中：基层审计机关基础设施维修费</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1090.22</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1090.22</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其他收入</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298696</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57950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440746</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 xml:space="preserve">        上级补助经费</w:t>
            </w: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298696</w:t>
            </w: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200000</w:t>
            </w: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57950</w:t>
            </w: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440746</w:t>
            </w: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56"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r>
        <w:tblPrEx>
          <w:shd w:val="clear" w:color="auto" w:fill="auto"/>
          <w:tblCellMar>
            <w:top w:w="0" w:type="dxa"/>
            <w:left w:w="0" w:type="dxa"/>
            <w:bottom w:w="0" w:type="dxa"/>
            <w:right w:w="0" w:type="dxa"/>
          </w:tblCellMar>
        </w:tblPrEx>
        <w:trPr>
          <w:trHeight w:val="367" w:hRule="atLeast"/>
        </w:trPr>
        <w:tc>
          <w:tcPr>
            <w:tcW w:w="27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c>
          <w:tcPr>
            <w:tcW w:w="12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44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仿宋" w:hAnsi="仿宋" w:eastAsia="仿宋" w:cs="仿宋"/>
                <w:i w:val="0"/>
                <w:color w:val="000000"/>
                <w:sz w:val="24"/>
                <w:szCs w:val="24"/>
                <w:u w:val="none"/>
              </w:rPr>
            </w:pPr>
          </w:p>
        </w:tc>
        <w:tc>
          <w:tcPr>
            <w:tcW w:w="1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i w:val="0"/>
                <w:color w:val="000000"/>
                <w:sz w:val="24"/>
                <w:szCs w:val="24"/>
                <w:u w:val="none"/>
              </w:rPr>
            </w:pPr>
          </w:p>
        </w:tc>
        <w:tc>
          <w:tcPr>
            <w:tcW w:w="94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仿宋" w:hAnsi="仿宋" w:eastAsia="仿宋" w:cs="仿宋"/>
                <w:i w:val="0"/>
                <w:color w:val="000000"/>
                <w:sz w:val="24"/>
                <w:szCs w:val="24"/>
                <w:u w:val="none"/>
              </w:rPr>
            </w:pPr>
          </w:p>
        </w:tc>
      </w:tr>
    </w:tbl>
    <w:p>
      <w:pPr>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br w:type="page"/>
      </w: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3</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调查问卷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sz w:val="30"/>
          <w:szCs w:val="30"/>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为了更好地做好审计工作，进一步提高审计工作质量，现就审计期间审计组工作情况进行问卷调查。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本调查问卷为无记名方式填写，请您在确定的选项前打√，并按审计组指定的方式交回。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eastAsia="zh-CN"/>
        </w:rPr>
        <w:t>感谢您的支持与配合！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1、您认为审计人员发现的问题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□客观、公正      □基本客观，主要问题实事求是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□不客观、不公正  □不透明、不知道</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2、您认为当前审计人员工作中存在的不足是：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□工作技巧欠缺    □业务知识不足</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□对检查发现问题不能跟踪督促整改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bookmarkStart w:id="0" w:name="OLE_LINK1"/>
      <w:r>
        <w:rPr>
          <w:rFonts w:hint="eastAsia" w:ascii="仿宋" w:hAnsi="仿宋" w:eastAsia="仿宋" w:cs="仿宋"/>
          <w:sz w:val="30"/>
          <w:szCs w:val="30"/>
          <w:lang w:val="en-US" w:eastAsia="zh-CN"/>
        </w:rPr>
        <w:t>□</w:t>
      </w:r>
      <w:bookmarkEnd w:id="0"/>
      <w:r>
        <w:rPr>
          <w:rFonts w:hint="eastAsia" w:ascii="仿宋" w:hAnsi="仿宋" w:eastAsia="仿宋" w:cs="仿宋"/>
          <w:sz w:val="30"/>
          <w:szCs w:val="30"/>
          <w:lang w:val="en-US" w:eastAsia="zh-CN"/>
        </w:rPr>
        <w:t>其他</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审计人员在审计期间，遵守审计工作纪律情况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□好   □较好   □一般   □差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4、您认为审计中存在哪些方面不足</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bookmarkStart w:id="1" w:name="OLE_LINK2"/>
      <w:r>
        <w:rPr>
          <w:rFonts w:hint="eastAsia" w:ascii="仿宋" w:hAnsi="仿宋" w:eastAsia="仿宋" w:cs="仿宋"/>
          <w:sz w:val="30"/>
          <w:szCs w:val="30"/>
          <w:lang w:val="en-US" w:eastAsia="zh-CN"/>
        </w:rPr>
        <w:t>□</w:t>
      </w:r>
      <w:bookmarkEnd w:id="1"/>
      <w:r>
        <w:rPr>
          <w:rFonts w:hint="eastAsia" w:ascii="仿宋" w:hAnsi="仿宋" w:eastAsia="仿宋" w:cs="仿宋"/>
          <w:sz w:val="30"/>
          <w:szCs w:val="30"/>
          <w:lang w:val="en-US" w:eastAsia="zh-CN"/>
        </w:rPr>
        <w:t>技术、经验积累不够   □法律制度不健全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□审计覆盖面不广       □审计宣传力度不够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5、您对审计有什么意见和建议？</w:t>
      </w:r>
    </w:p>
    <w:p>
      <w:pPr>
        <w:bidi w:val="0"/>
        <w:rPr>
          <w:rFonts w:hint="eastAsia"/>
          <w:lang w:val="en-US" w:eastAsia="zh-CN"/>
        </w:rPr>
      </w:pPr>
    </w:p>
    <w:p>
      <w:pPr>
        <w:ind w:firstLine="630"/>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E4725"/>
    <w:multiLevelType w:val="multilevel"/>
    <w:tmpl w:val="00FE4725"/>
    <w:lvl w:ilvl="0" w:tentative="0">
      <w:start w:val="1"/>
      <w:numFmt w:val="japaneseCounting"/>
      <w:lvlText w:val="（%1）"/>
      <w:lvlJc w:val="left"/>
      <w:pPr>
        <w:ind w:left="1720" w:hanging="1080"/>
      </w:pPr>
      <w:rPr>
        <w:rFonts w:hint="default" w:cs="Times New Roman"/>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1">
    <w:nsid w:val="49411A48"/>
    <w:multiLevelType w:val="singleLevel"/>
    <w:tmpl w:val="49411A48"/>
    <w:lvl w:ilvl="0" w:tentative="0">
      <w:start w:val="4"/>
      <w:numFmt w:val="chineseCounting"/>
      <w:suff w:val="nothing"/>
      <w:lvlText w:val="（%1）"/>
      <w:lvlJc w:val="left"/>
      <w:rPr>
        <w:rFonts w:hint="eastAsia"/>
      </w:rPr>
    </w:lvl>
  </w:abstractNum>
  <w:abstractNum w:abstractNumId="2">
    <w:nsid w:val="5D48E421"/>
    <w:multiLevelType w:val="singleLevel"/>
    <w:tmpl w:val="5D48E421"/>
    <w:lvl w:ilvl="0" w:tentative="0">
      <w:start w:val="3"/>
      <w:numFmt w:val="decimal"/>
      <w:suff w:val="nothing"/>
      <w:lvlText w:val="%1、"/>
      <w:lvlJc w:val="left"/>
    </w:lvl>
  </w:abstractNum>
  <w:abstractNum w:abstractNumId="3">
    <w:nsid w:val="6E360C3B"/>
    <w:multiLevelType w:val="singleLevel"/>
    <w:tmpl w:val="6E360C3B"/>
    <w:lvl w:ilvl="0" w:tentative="0">
      <w:start w:val="4"/>
      <w:numFmt w:val="chineseCounting"/>
      <w:suff w:val="nothing"/>
      <w:lvlText w:val="%1、"/>
      <w:lvlJc w:val="left"/>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4E9"/>
    <w:rsid w:val="000001BB"/>
    <w:rsid w:val="00003A5F"/>
    <w:rsid w:val="0000431C"/>
    <w:rsid w:val="00013383"/>
    <w:rsid w:val="0001467D"/>
    <w:rsid w:val="00015F07"/>
    <w:rsid w:val="00017144"/>
    <w:rsid w:val="00020982"/>
    <w:rsid w:val="0002294C"/>
    <w:rsid w:val="00024CF0"/>
    <w:rsid w:val="0002602B"/>
    <w:rsid w:val="00026829"/>
    <w:rsid w:val="000327BC"/>
    <w:rsid w:val="0003287A"/>
    <w:rsid w:val="00033F06"/>
    <w:rsid w:val="00035636"/>
    <w:rsid w:val="000364F1"/>
    <w:rsid w:val="0003691D"/>
    <w:rsid w:val="00041653"/>
    <w:rsid w:val="000421B7"/>
    <w:rsid w:val="00043710"/>
    <w:rsid w:val="00043B83"/>
    <w:rsid w:val="0004544A"/>
    <w:rsid w:val="000460CA"/>
    <w:rsid w:val="000460E3"/>
    <w:rsid w:val="00046FC8"/>
    <w:rsid w:val="00051CC4"/>
    <w:rsid w:val="00051CF4"/>
    <w:rsid w:val="00053552"/>
    <w:rsid w:val="00054E20"/>
    <w:rsid w:val="00054FD1"/>
    <w:rsid w:val="0005502B"/>
    <w:rsid w:val="000577C5"/>
    <w:rsid w:val="00066499"/>
    <w:rsid w:val="00072B2D"/>
    <w:rsid w:val="000738F0"/>
    <w:rsid w:val="0007613B"/>
    <w:rsid w:val="0008409C"/>
    <w:rsid w:val="00086221"/>
    <w:rsid w:val="000875FB"/>
    <w:rsid w:val="00091E76"/>
    <w:rsid w:val="00092944"/>
    <w:rsid w:val="000962CD"/>
    <w:rsid w:val="00097D50"/>
    <w:rsid w:val="000A0CC5"/>
    <w:rsid w:val="000A155A"/>
    <w:rsid w:val="000A2C4A"/>
    <w:rsid w:val="000A3F26"/>
    <w:rsid w:val="000A45ED"/>
    <w:rsid w:val="000B1D50"/>
    <w:rsid w:val="000B2862"/>
    <w:rsid w:val="000B292C"/>
    <w:rsid w:val="000B4189"/>
    <w:rsid w:val="000B44CA"/>
    <w:rsid w:val="000B46AC"/>
    <w:rsid w:val="000B5E32"/>
    <w:rsid w:val="000C088D"/>
    <w:rsid w:val="000C2A44"/>
    <w:rsid w:val="000C3785"/>
    <w:rsid w:val="000D0423"/>
    <w:rsid w:val="000D07E3"/>
    <w:rsid w:val="000D0935"/>
    <w:rsid w:val="000D1C6B"/>
    <w:rsid w:val="000D28A2"/>
    <w:rsid w:val="000D3A2F"/>
    <w:rsid w:val="000D6DD7"/>
    <w:rsid w:val="000E0078"/>
    <w:rsid w:val="000E0549"/>
    <w:rsid w:val="000E11CC"/>
    <w:rsid w:val="000E1F13"/>
    <w:rsid w:val="000E6681"/>
    <w:rsid w:val="000F107D"/>
    <w:rsid w:val="000F1A70"/>
    <w:rsid w:val="000F5F88"/>
    <w:rsid w:val="0010637A"/>
    <w:rsid w:val="00110D5F"/>
    <w:rsid w:val="0011341F"/>
    <w:rsid w:val="00113861"/>
    <w:rsid w:val="00114040"/>
    <w:rsid w:val="00114608"/>
    <w:rsid w:val="00114EF9"/>
    <w:rsid w:val="00117953"/>
    <w:rsid w:val="00122260"/>
    <w:rsid w:val="001270F5"/>
    <w:rsid w:val="00131AF8"/>
    <w:rsid w:val="00131C87"/>
    <w:rsid w:val="001320A8"/>
    <w:rsid w:val="00132DAD"/>
    <w:rsid w:val="001332ED"/>
    <w:rsid w:val="0014049E"/>
    <w:rsid w:val="00140AFA"/>
    <w:rsid w:val="001435C4"/>
    <w:rsid w:val="00146E98"/>
    <w:rsid w:val="001512AA"/>
    <w:rsid w:val="001513B8"/>
    <w:rsid w:val="001527EC"/>
    <w:rsid w:val="00157778"/>
    <w:rsid w:val="001601C8"/>
    <w:rsid w:val="001634EF"/>
    <w:rsid w:val="001641B2"/>
    <w:rsid w:val="001664B7"/>
    <w:rsid w:val="00171026"/>
    <w:rsid w:val="00172192"/>
    <w:rsid w:val="001733A6"/>
    <w:rsid w:val="00176BE9"/>
    <w:rsid w:val="001775E1"/>
    <w:rsid w:val="00177E27"/>
    <w:rsid w:val="00177F7C"/>
    <w:rsid w:val="00181912"/>
    <w:rsid w:val="0018765D"/>
    <w:rsid w:val="00187A2C"/>
    <w:rsid w:val="00187F84"/>
    <w:rsid w:val="0019472E"/>
    <w:rsid w:val="00196E14"/>
    <w:rsid w:val="001A1DC2"/>
    <w:rsid w:val="001A3301"/>
    <w:rsid w:val="001A4C8E"/>
    <w:rsid w:val="001A6324"/>
    <w:rsid w:val="001A6CB5"/>
    <w:rsid w:val="001B00F8"/>
    <w:rsid w:val="001B1023"/>
    <w:rsid w:val="001B116B"/>
    <w:rsid w:val="001B34C8"/>
    <w:rsid w:val="001B41B8"/>
    <w:rsid w:val="001B5F12"/>
    <w:rsid w:val="001B6B28"/>
    <w:rsid w:val="001C11BD"/>
    <w:rsid w:val="001C1E68"/>
    <w:rsid w:val="001C3BB1"/>
    <w:rsid w:val="001C565D"/>
    <w:rsid w:val="001C6A1A"/>
    <w:rsid w:val="001D00E9"/>
    <w:rsid w:val="001D029E"/>
    <w:rsid w:val="001D2EE8"/>
    <w:rsid w:val="001D48FA"/>
    <w:rsid w:val="001D5B27"/>
    <w:rsid w:val="001D6EAC"/>
    <w:rsid w:val="001E0037"/>
    <w:rsid w:val="001E2B3F"/>
    <w:rsid w:val="001E3280"/>
    <w:rsid w:val="001E3793"/>
    <w:rsid w:val="001E43C2"/>
    <w:rsid w:val="001F14F9"/>
    <w:rsid w:val="001F4685"/>
    <w:rsid w:val="001F4A6D"/>
    <w:rsid w:val="001F526A"/>
    <w:rsid w:val="001F6CF0"/>
    <w:rsid w:val="00200C0F"/>
    <w:rsid w:val="00201727"/>
    <w:rsid w:val="00202BF2"/>
    <w:rsid w:val="00204AD4"/>
    <w:rsid w:val="00205794"/>
    <w:rsid w:val="00206D5B"/>
    <w:rsid w:val="00206F18"/>
    <w:rsid w:val="002074CD"/>
    <w:rsid w:val="0021182F"/>
    <w:rsid w:val="00211A2D"/>
    <w:rsid w:val="002139AA"/>
    <w:rsid w:val="00214651"/>
    <w:rsid w:val="0021523B"/>
    <w:rsid w:val="002154FC"/>
    <w:rsid w:val="00215DF9"/>
    <w:rsid w:val="00222327"/>
    <w:rsid w:val="00223527"/>
    <w:rsid w:val="002236D6"/>
    <w:rsid w:val="00223BBF"/>
    <w:rsid w:val="00224464"/>
    <w:rsid w:val="00225093"/>
    <w:rsid w:val="0022516F"/>
    <w:rsid w:val="00226D81"/>
    <w:rsid w:val="00230221"/>
    <w:rsid w:val="00233332"/>
    <w:rsid w:val="00235041"/>
    <w:rsid w:val="0023543C"/>
    <w:rsid w:val="002372C6"/>
    <w:rsid w:val="00241010"/>
    <w:rsid w:val="0024784E"/>
    <w:rsid w:val="00251037"/>
    <w:rsid w:val="002514C0"/>
    <w:rsid w:val="002516DD"/>
    <w:rsid w:val="00252997"/>
    <w:rsid w:val="00253092"/>
    <w:rsid w:val="002534C2"/>
    <w:rsid w:val="002545DD"/>
    <w:rsid w:val="00255FB3"/>
    <w:rsid w:val="002564BD"/>
    <w:rsid w:val="00257395"/>
    <w:rsid w:val="002611F9"/>
    <w:rsid w:val="00261DC8"/>
    <w:rsid w:val="00262988"/>
    <w:rsid w:val="00262CA8"/>
    <w:rsid w:val="002635C1"/>
    <w:rsid w:val="00264A69"/>
    <w:rsid w:val="00270F4B"/>
    <w:rsid w:val="00273C26"/>
    <w:rsid w:val="00274D9E"/>
    <w:rsid w:val="00276A00"/>
    <w:rsid w:val="00277545"/>
    <w:rsid w:val="00277E36"/>
    <w:rsid w:val="0028040E"/>
    <w:rsid w:val="002827D9"/>
    <w:rsid w:val="002829FA"/>
    <w:rsid w:val="00283AE5"/>
    <w:rsid w:val="002842FA"/>
    <w:rsid w:val="002846C6"/>
    <w:rsid w:val="00284CB0"/>
    <w:rsid w:val="002872D5"/>
    <w:rsid w:val="00290657"/>
    <w:rsid w:val="00291632"/>
    <w:rsid w:val="00291F85"/>
    <w:rsid w:val="00293F4D"/>
    <w:rsid w:val="00295928"/>
    <w:rsid w:val="002A034A"/>
    <w:rsid w:val="002A2427"/>
    <w:rsid w:val="002A2B3C"/>
    <w:rsid w:val="002A2F86"/>
    <w:rsid w:val="002A4FCB"/>
    <w:rsid w:val="002B0849"/>
    <w:rsid w:val="002B1359"/>
    <w:rsid w:val="002B1AD4"/>
    <w:rsid w:val="002B259E"/>
    <w:rsid w:val="002B45D6"/>
    <w:rsid w:val="002B57E6"/>
    <w:rsid w:val="002C054B"/>
    <w:rsid w:val="002C0B02"/>
    <w:rsid w:val="002C11BE"/>
    <w:rsid w:val="002C2F00"/>
    <w:rsid w:val="002C4396"/>
    <w:rsid w:val="002C622D"/>
    <w:rsid w:val="002C7C56"/>
    <w:rsid w:val="002D16C6"/>
    <w:rsid w:val="002D2EBB"/>
    <w:rsid w:val="002D352E"/>
    <w:rsid w:val="002D4655"/>
    <w:rsid w:val="002D563E"/>
    <w:rsid w:val="002E2A6F"/>
    <w:rsid w:val="002E3585"/>
    <w:rsid w:val="002E699D"/>
    <w:rsid w:val="002F2175"/>
    <w:rsid w:val="003014D4"/>
    <w:rsid w:val="003048AC"/>
    <w:rsid w:val="00307337"/>
    <w:rsid w:val="00310063"/>
    <w:rsid w:val="00311797"/>
    <w:rsid w:val="0031481F"/>
    <w:rsid w:val="0031517F"/>
    <w:rsid w:val="00320B04"/>
    <w:rsid w:val="00321596"/>
    <w:rsid w:val="0032289B"/>
    <w:rsid w:val="003237F8"/>
    <w:rsid w:val="00324B16"/>
    <w:rsid w:val="0032516C"/>
    <w:rsid w:val="0033002D"/>
    <w:rsid w:val="00330076"/>
    <w:rsid w:val="0033059A"/>
    <w:rsid w:val="00331710"/>
    <w:rsid w:val="003325D3"/>
    <w:rsid w:val="00334EF4"/>
    <w:rsid w:val="00340135"/>
    <w:rsid w:val="003433D8"/>
    <w:rsid w:val="00343DC3"/>
    <w:rsid w:val="00343E23"/>
    <w:rsid w:val="00344942"/>
    <w:rsid w:val="00345EB9"/>
    <w:rsid w:val="00347C70"/>
    <w:rsid w:val="003532E9"/>
    <w:rsid w:val="00357F17"/>
    <w:rsid w:val="00360938"/>
    <w:rsid w:val="003632CA"/>
    <w:rsid w:val="0036419E"/>
    <w:rsid w:val="00366E23"/>
    <w:rsid w:val="00371220"/>
    <w:rsid w:val="0037591D"/>
    <w:rsid w:val="00375EF2"/>
    <w:rsid w:val="00381935"/>
    <w:rsid w:val="00382127"/>
    <w:rsid w:val="0038506D"/>
    <w:rsid w:val="0039005C"/>
    <w:rsid w:val="00391EB8"/>
    <w:rsid w:val="00392D9A"/>
    <w:rsid w:val="00392E04"/>
    <w:rsid w:val="003953B3"/>
    <w:rsid w:val="00395EBD"/>
    <w:rsid w:val="00396B16"/>
    <w:rsid w:val="003A2406"/>
    <w:rsid w:val="003A2AA8"/>
    <w:rsid w:val="003A2DD5"/>
    <w:rsid w:val="003A570A"/>
    <w:rsid w:val="003A5968"/>
    <w:rsid w:val="003A6D98"/>
    <w:rsid w:val="003B0130"/>
    <w:rsid w:val="003B1441"/>
    <w:rsid w:val="003B4D80"/>
    <w:rsid w:val="003B6AFB"/>
    <w:rsid w:val="003B6CBC"/>
    <w:rsid w:val="003B7563"/>
    <w:rsid w:val="003C2795"/>
    <w:rsid w:val="003C2DDF"/>
    <w:rsid w:val="003C7FD7"/>
    <w:rsid w:val="003D4DCB"/>
    <w:rsid w:val="003E098E"/>
    <w:rsid w:val="003E33F2"/>
    <w:rsid w:val="003E38EF"/>
    <w:rsid w:val="003E4173"/>
    <w:rsid w:val="003E59A0"/>
    <w:rsid w:val="003E7B46"/>
    <w:rsid w:val="003F3BA8"/>
    <w:rsid w:val="003F46DC"/>
    <w:rsid w:val="003F5C09"/>
    <w:rsid w:val="003F5D1E"/>
    <w:rsid w:val="003F5F10"/>
    <w:rsid w:val="003F629C"/>
    <w:rsid w:val="003F6852"/>
    <w:rsid w:val="0040501A"/>
    <w:rsid w:val="004050F6"/>
    <w:rsid w:val="0040575C"/>
    <w:rsid w:val="0040616E"/>
    <w:rsid w:val="004100F2"/>
    <w:rsid w:val="00410B73"/>
    <w:rsid w:val="004123D5"/>
    <w:rsid w:val="00413737"/>
    <w:rsid w:val="00413B68"/>
    <w:rsid w:val="00415C4E"/>
    <w:rsid w:val="00416057"/>
    <w:rsid w:val="00416BBA"/>
    <w:rsid w:val="00420B84"/>
    <w:rsid w:val="00421585"/>
    <w:rsid w:val="00422AE4"/>
    <w:rsid w:val="00422BA3"/>
    <w:rsid w:val="004241FE"/>
    <w:rsid w:val="004264F0"/>
    <w:rsid w:val="00432737"/>
    <w:rsid w:val="00434142"/>
    <w:rsid w:val="004370CB"/>
    <w:rsid w:val="00440063"/>
    <w:rsid w:val="00440476"/>
    <w:rsid w:val="00446D1E"/>
    <w:rsid w:val="00446E71"/>
    <w:rsid w:val="00450535"/>
    <w:rsid w:val="004516F1"/>
    <w:rsid w:val="00456FA6"/>
    <w:rsid w:val="00462FF6"/>
    <w:rsid w:val="00463771"/>
    <w:rsid w:val="004642B9"/>
    <w:rsid w:val="00472504"/>
    <w:rsid w:val="00472AC7"/>
    <w:rsid w:val="004732D7"/>
    <w:rsid w:val="00473A70"/>
    <w:rsid w:val="004746D4"/>
    <w:rsid w:val="004754C8"/>
    <w:rsid w:val="00475593"/>
    <w:rsid w:val="00477031"/>
    <w:rsid w:val="00482B74"/>
    <w:rsid w:val="00483505"/>
    <w:rsid w:val="00487869"/>
    <w:rsid w:val="00487EAC"/>
    <w:rsid w:val="00492164"/>
    <w:rsid w:val="00493D72"/>
    <w:rsid w:val="00494554"/>
    <w:rsid w:val="004949C6"/>
    <w:rsid w:val="004A047F"/>
    <w:rsid w:val="004A1B46"/>
    <w:rsid w:val="004A3B06"/>
    <w:rsid w:val="004A4627"/>
    <w:rsid w:val="004A78A7"/>
    <w:rsid w:val="004A7F32"/>
    <w:rsid w:val="004B096E"/>
    <w:rsid w:val="004B1DD5"/>
    <w:rsid w:val="004B3322"/>
    <w:rsid w:val="004B3E09"/>
    <w:rsid w:val="004C0B2B"/>
    <w:rsid w:val="004C1C77"/>
    <w:rsid w:val="004C2C69"/>
    <w:rsid w:val="004D06EF"/>
    <w:rsid w:val="004D16D8"/>
    <w:rsid w:val="004D3C69"/>
    <w:rsid w:val="004D3EB2"/>
    <w:rsid w:val="004D6355"/>
    <w:rsid w:val="004E0397"/>
    <w:rsid w:val="004E1524"/>
    <w:rsid w:val="004E30BF"/>
    <w:rsid w:val="004E4791"/>
    <w:rsid w:val="004E56DC"/>
    <w:rsid w:val="004E6D51"/>
    <w:rsid w:val="004E70B8"/>
    <w:rsid w:val="004E73DE"/>
    <w:rsid w:val="004F07A2"/>
    <w:rsid w:val="004F21B0"/>
    <w:rsid w:val="004F427C"/>
    <w:rsid w:val="004F455D"/>
    <w:rsid w:val="004F5E2A"/>
    <w:rsid w:val="004F7B9E"/>
    <w:rsid w:val="005022A4"/>
    <w:rsid w:val="005030FD"/>
    <w:rsid w:val="00503737"/>
    <w:rsid w:val="00505E22"/>
    <w:rsid w:val="005077DC"/>
    <w:rsid w:val="005079D2"/>
    <w:rsid w:val="00513FBD"/>
    <w:rsid w:val="0051504A"/>
    <w:rsid w:val="005225C3"/>
    <w:rsid w:val="00522706"/>
    <w:rsid w:val="005230E0"/>
    <w:rsid w:val="00525528"/>
    <w:rsid w:val="00526997"/>
    <w:rsid w:val="00530F91"/>
    <w:rsid w:val="00531CB3"/>
    <w:rsid w:val="0053606E"/>
    <w:rsid w:val="005367D3"/>
    <w:rsid w:val="00537825"/>
    <w:rsid w:val="0054098D"/>
    <w:rsid w:val="00540AF9"/>
    <w:rsid w:val="0054689D"/>
    <w:rsid w:val="00550465"/>
    <w:rsid w:val="00551F2C"/>
    <w:rsid w:val="00555689"/>
    <w:rsid w:val="00557D74"/>
    <w:rsid w:val="005639BC"/>
    <w:rsid w:val="00571D4C"/>
    <w:rsid w:val="00571F05"/>
    <w:rsid w:val="0057603A"/>
    <w:rsid w:val="00576C95"/>
    <w:rsid w:val="00576D13"/>
    <w:rsid w:val="00576DE9"/>
    <w:rsid w:val="00577FAE"/>
    <w:rsid w:val="00581D04"/>
    <w:rsid w:val="00584D4C"/>
    <w:rsid w:val="00591BBA"/>
    <w:rsid w:val="005925DB"/>
    <w:rsid w:val="00592CC1"/>
    <w:rsid w:val="005930F9"/>
    <w:rsid w:val="005949E3"/>
    <w:rsid w:val="00594A64"/>
    <w:rsid w:val="00596478"/>
    <w:rsid w:val="005972A0"/>
    <w:rsid w:val="005A4C91"/>
    <w:rsid w:val="005A5337"/>
    <w:rsid w:val="005A5838"/>
    <w:rsid w:val="005A5F00"/>
    <w:rsid w:val="005A797E"/>
    <w:rsid w:val="005B4DCD"/>
    <w:rsid w:val="005B5E6A"/>
    <w:rsid w:val="005C0189"/>
    <w:rsid w:val="005C3181"/>
    <w:rsid w:val="005C31E2"/>
    <w:rsid w:val="005C4767"/>
    <w:rsid w:val="005D1F24"/>
    <w:rsid w:val="005D3C07"/>
    <w:rsid w:val="005D5382"/>
    <w:rsid w:val="005D6A54"/>
    <w:rsid w:val="005E080E"/>
    <w:rsid w:val="005E14D5"/>
    <w:rsid w:val="005E367C"/>
    <w:rsid w:val="005E3E00"/>
    <w:rsid w:val="005E4DA1"/>
    <w:rsid w:val="005F2933"/>
    <w:rsid w:val="005F43E7"/>
    <w:rsid w:val="005F4439"/>
    <w:rsid w:val="005F4D62"/>
    <w:rsid w:val="005F6A56"/>
    <w:rsid w:val="00601A45"/>
    <w:rsid w:val="00605043"/>
    <w:rsid w:val="0060655E"/>
    <w:rsid w:val="00614456"/>
    <w:rsid w:val="00621B3F"/>
    <w:rsid w:val="0062292D"/>
    <w:rsid w:val="006234CC"/>
    <w:rsid w:val="00624043"/>
    <w:rsid w:val="006279B2"/>
    <w:rsid w:val="00627D4E"/>
    <w:rsid w:val="00631044"/>
    <w:rsid w:val="00637B50"/>
    <w:rsid w:val="006435EB"/>
    <w:rsid w:val="006529E4"/>
    <w:rsid w:val="00652DEF"/>
    <w:rsid w:val="0065558E"/>
    <w:rsid w:val="00656566"/>
    <w:rsid w:val="00656569"/>
    <w:rsid w:val="006572EC"/>
    <w:rsid w:val="00657970"/>
    <w:rsid w:val="00660FDA"/>
    <w:rsid w:val="00661ADA"/>
    <w:rsid w:val="00661F3D"/>
    <w:rsid w:val="00662777"/>
    <w:rsid w:val="00663731"/>
    <w:rsid w:val="00664BAD"/>
    <w:rsid w:val="00665D46"/>
    <w:rsid w:val="006662A7"/>
    <w:rsid w:val="0066679F"/>
    <w:rsid w:val="00666EFC"/>
    <w:rsid w:val="00676613"/>
    <w:rsid w:val="0067698A"/>
    <w:rsid w:val="00677322"/>
    <w:rsid w:val="00680754"/>
    <w:rsid w:val="0068118A"/>
    <w:rsid w:val="00681209"/>
    <w:rsid w:val="00683CE7"/>
    <w:rsid w:val="00686087"/>
    <w:rsid w:val="00686488"/>
    <w:rsid w:val="00690917"/>
    <w:rsid w:val="00690AE1"/>
    <w:rsid w:val="00691786"/>
    <w:rsid w:val="00693BFC"/>
    <w:rsid w:val="00694DB1"/>
    <w:rsid w:val="006A0228"/>
    <w:rsid w:val="006A6385"/>
    <w:rsid w:val="006B342A"/>
    <w:rsid w:val="006B517F"/>
    <w:rsid w:val="006B66EC"/>
    <w:rsid w:val="006C159B"/>
    <w:rsid w:val="006C1E82"/>
    <w:rsid w:val="006C2309"/>
    <w:rsid w:val="006C7A19"/>
    <w:rsid w:val="006D11A6"/>
    <w:rsid w:val="006D3184"/>
    <w:rsid w:val="006D4F1C"/>
    <w:rsid w:val="006E142A"/>
    <w:rsid w:val="006E45FE"/>
    <w:rsid w:val="006F22B5"/>
    <w:rsid w:val="006F45F3"/>
    <w:rsid w:val="006F7442"/>
    <w:rsid w:val="00700663"/>
    <w:rsid w:val="007012AF"/>
    <w:rsid w:val="0070175E"/>
    <w:rsid w:val="007106A2"/>
    <w:rsid w:val="00710928"/>
    <w:rsid w:val="00711EB0"/>
    <w:rsid w:val="00712976"/>
    <w:rsid w:val="007132D3"/>
    <w:rsid w:val="00714418"/>
    <w:rsid w:val="00715385"/>
    <w:rsid w:val="00716912"/>
    <w:rsid w:val="00720F4F"/>
    <w:rsid w:val="00721AF2"/>
    <w:rsid w:val="00722F49"/>
    <w:rsid w:val="0072324F"/>
    <w:rsid w:val="0072330C"/>
    <w:rsid w:val="00731ACE"/>
    <w:rsid w:val="00732B0E"/>
    <w:rsid w:val="00734607"/>
    <w:rsid w:val="00734EDC"/>
    <w:rsid w:val="00735B0C"/>
    <w:rsid w:val="00736524"/>
    <w:rsid w:val="007407D0"/>
    <w:rsid w:val="007410DE"/>
    <w:rsid w:val="007461B3"/>
    <w:rsid w:val="00746D38"/>
    <w:rsid w:val="00751139"/>
    <w:rsid w:val="007516DD"/>
    <w:rsid w:val="007521C6"/>
    <w:rsid w:val="00754F15"/>
    <w:rsid w:val="0075510C"/>
    <w:rsid w:val="0076055D"/>
    <w:rsid w:val="007614A8"/>
    <w:rsid w:val="007614E4"/>
    <w:rsid w:val="00762515"/>
    <w:rsid w:val="00766425"/>
    <w:rsid w:val="00767BF2"/>
    <w:rsid w:val="0077076E"/>
    <w:rsid w:val="007755B9"/>
    <w:rsid w:val="007757FB"/>
    <w:rsid w:val="00775DB3"/>
    <w:rsid w:val="00781609"/>
    <w:rsid w:val="00781A4C"/>
    <w:rsid w:val="00783959"/>
    <w:rsid w:val="00783DF4"/>
    <w:rsid w:val="00784910"/>
    <w:rsid w:val="00786748"/>
    <w:rsid w:val="0079570F"/>
    <w:rsid w:val="007962EB"/>
    <w:rsid w:val="00796C25"/>
    <w:rsid w:val="007A2DCC"/>
    <w:rsid w:val="007A7240"/>
    <w:rsid w:val="007B1C51"/>
    <w:rsid w:val="007B49D3"/>
    <w:rsid w:val="007B4AFE"/>
    <w:rsid w:val="007B66C8"/>
    <w:rsid w:val="007B6AD3"/>
    <w:rsid w:val="007B6C9B"/>
    <w:rsid w:val="007C058C"/>
    <w:rsid w:val="007C0938"/>
    <w:rsid w:val="007C3592"/>
    <w:rsid w:val="007C35C4"/>
    <w:rsid w:val="007C4808"/>
    <w:rsid w:val="007C5191"/>
    <w:rsid w:val="007C58CD"/>
    <w:rsid w:val="007C6CCE"/>
    <w:rsid w:val="007C705C"/>
    <w:rsid w:val="007C7BB4"/>
    <w:rsid w:val="007D25CD"/>
    <w:rsid w:val="007D4782"/>
    <w:rsid w:val="007E2BDD"/>
    <w:rsid w:val="007E3DEC"/>
    <w:rsid w:val="007E4EF0"/>
    <w:rsid w:val="007E69CA"/>
    <w:rsid w:val="007E7436"/>
    <w:rsid w:val="007F5099"/>
    <w:rsid w:val="007F596C"/>
    <w:rsid w:val="007F78A7"/>
    <w:rsid w:val="007F7AF6"/>
    <w:rsid w:val="00804467"/>
    <w:rsid w:val="00805257"/>
    <w:rsid w:val="00805A26"/>
    <w:rsid w:val="008076A5"/>
    <w:rsid w:val="00810A12"/>
    <w:rsid w:val="00810C37"/>
    <w:rsid w:val="00814A14"/>
    <w:rsid w:val="00815FD9"/>
    <w:rsid w:val="008231E8"/>
    <w:rsid w:val="00823423"/>
    <w:rsid w:val="00823B5B"/>
    <w:rsid w:val="00830D1E"/>
    <w:rsid w:val="00832687"/>
    <w:rsid w:val="00833A62"/>
    <w:rsid w:val="00834DF5"/>
    <w:rsid w:val="00837C23"/>
    <w:rsid w:val="00837DEB"/>
    <w:rsid w:val="00837E92"/>
    <w:rsid w:val="00840387"/>
    <w:rsid w:val="00843878"/>
    <w:rsid w:val="00844538"/>
    <w:rsid w:val="008445FE"/>
    <w:rsid w:val="00844C46"/>
    <w:rsid w:val="00845517"/>
    <w:rsid w:val="00845BE1"/>
    <w:rsid w:val="00845D29"/>
    <w:rsid w:val="00847629"/>
    <w:rsid w:val="00847803"/>
    <w:rsid w:val="00852013"/>
    <w:rsid w:val="00852C1D"/>
    <w:rsid w:val="0085391B"/>
    <w:rsid w:val="00853BC5"/>
    <w:rsid w:val="00854EC2"/>
    <w:rsid w:val="00854F11"/>
    <w:rsid w:val="008555E0"/>
    <w:rsid w:val="008570CA"/>
    <w:rsid w:val="0086023F"/>
    <w:rsid w:val="0086228A"/>
    <w:rsid w:val="008624FB"/>
    <w:rsid w:val="00866385"/>
    <w:rsid w:val="00866984"/>
    <w:rsid w:val="00870B71"/>
    <w:rsid w:val="0087252E"/>
    <w:rsid w:val="00874EB1"/>
    <w:rsid w:val="00875A63"/>
    <w:rsid w:val="00876152"/>
    <w:rsid w:val="00876CDC"/>
    <w:rsid w:val="008774E0"/>
    <w:rsid w:val="00880018"/>
    <w:rsid w:val="00880B17"/>
    <w:rsid w:val="00880E8F"/>
    <w:rsid w:val="00884764"/>
    <w:rsid w:val="00884D0C"/>
    <w:rsid w:val="0088711A"/>
    <w:rsid w:val="008936EB"/>
    <w:rsid w:val="00897981"/>
    <w:rsid w:val="008A281B"/>
    <w:rsid w:val="008A3574"/>
    <w:rsid w:val="008A53B3"/>
    <w:rsid w:val="008A63C6"/>
    <w:rsid w:val="008A659D"/>
    <w:rsid w:val="008B008E"/>
    <w:rsid w:val="008B0F37"/>
    <w:rsid w:val="008B1435"/>
    <w:rsid w:val="008B7ED3"/>
    <w:rsid w:val="008C12EF"/>
    <w:rsid w:val="008C2D43"/>
    <w:rsid w:val="008C4E09"/>
    <w:rsid w:val="008C541D"/>
    <w:rsid w:val="008C5B40"/>
    <w:rsid w:val="008C6A56"/>
    <w:rsid w:val="008D0A35"/>
    <w:rsid w:val="008D4430"/>
    <w:rsid w:val="008D66C1"/>
    <w:rsid w:val="008E0E4C"/>
    <w:rsid w:val="008E274A"/>
    <w:rsid w:val="008E2A4F"/>
    <w:rsid w:val="008E3DC1"/>
    <w:rsid w:val="008E4233"/>
    <w:rsid w:val="008F2489"/>
    <w:rsid w:val="008F2959"/>
    <w:rsid w:val="008F476C"/>
    <w:rsid w:val="008F4D0A"/>
    <w:rsid w:val="008F5342"/>
    <w:rsid w:val="008F5C1F"/>
    <w:rsid w:val="00900018"/>
    <w:rsid w:val="00901283"/>
    <w:rsid w:val="00901576"/>
    <w:rsid w:val="00902C50"/>
    <w:rsid w:val="0090345D"/>
    <w:rsid w:val="009035D3"/>
    <w:rsid w:val="00904062"/>
    <w:rsid w:val="00904BF0"/>
    <w:rsid w:val="00905294"/>
    <w:rsid w:val="00905A0E"/>
    <w:rsid w:val="00911C15"/>
    <w:rsid w:val="00911D9A"/>
    <w:rsid w:val="00911F3A"/>
    <w:rsid w:val="009131FD"/>
    <w:rsid w:val="00913DCF"/>
    <w:rsid w:val="00914392"/>
    <w:rsid w:val="009148D7"/>
    <w:rsid w:val="0091647D"/>
    <w:rsid w:val="00917806"/>
    <w:rsid w:val="00921D14"/>
    <w:rsid w:val="00923117"/>
    <w:rsid w:val="00923DBC"/>
    <w:rsid w:val="00925050"/>
    <w:rsid w:val="00925218"/>
    <w:rsid w:val="0093081A"/>
    <w:rsid w:val="00930D4B"/>
    <w:rsid w:val="00933A43"/>
    <w:rsid w:val="00934888"/>
    <w:rsid w:val="0093544C"/>
    <w:rsid w:val="00935540"/>
    <w:rsid w:val="00940B3E"/>
    <w:rsid w:val="00955041"/>
    <w:rsid w:val="00960AA0"/>
    <w:rsid w:val="00965A46"/>
    <w:rsid w:val="009663ED"/>
    <w:rsid w:val="009670B7"/>
    <w:rsid w:val="009726E6"/>
    <w:rsid w:val="00972FCC"/>
    <w:rsid w:val="00973C5B"/>
    <w:rsid w:val="00983658"/>
    <w:rsid w:val="00984433"/>
    <w:rsid w:val="009868C6"/>
    <w:rsid w:val="00987040"/>
    <w:rsid w:val="00987D06"/>
    <w:rsid w:val="00993BA8"/>
    <w:rsid w:val="009940B1"/>
    <w:rsid w:val="00995AA0"/>
    <w:rsid w:val="009A166A"/>
    <w:rsid w:val="009A3808"/>
    <w:rsid w:val="009A6EA2"/>
    <w:rsid w:val="009B1A20"/>
    <w:rsid w:val="009B54AE"/>
    <w:rsid w:val="009C1F05"/>
    <w:rsid w:val="009C51A5"/>
    <w:rsid w:val="009C531C"/>
    <w:rsid w:val="009C5612"/>
    <w:rsid w:val="009C56E2"/>
    <w:rsid w:val="009C79E4"/>
    <w:rsid w:val="009D6946"/>
    <w:rsid w:val="009E0C4E"/>
    <w:rsid w:val="009E4C52"/>
    <w:rsid w:val="009F03D5"/>
    <w:rsid w:val="009F2EAD"/>
    <w:rsid w:val="009F372A"/>
    <w:rsid w:val="009F3ED3"/>
    <w:rsid w:val="009F4600"/>
    <w:rsid w:val="009F52F6"/>
    <w:rsid w:val="00A00E20"/>
    <w:rsid w:val="00A01387"/>
    <w:rsid w:val="00A0345D"/>
    <w:rsid w:val="00A05F12"/>
    <w:rsid w:val="00A07108"/>
    <w:rsid w:val="00A07125"/>
    <w:rsid w:val="00A0795A"/>
    <w:rsid w:val="00A10296"/>
    <w:rsid w:val="00A129CD"/>
    <w:rsid w:val="00A13EA6"/>
    <w:rsid w:val="00A14E7B"/>
    <w:rsid w:val="00A20A9E"/>
    <w:rsid w:val="00A2147B"/>
    <w:rsid w:val="00A248AC"/>
    <w:rsid w:val="00A25069"/>
    <w:rsid w:val="00A25B7F"/>
    <w:rsid w:val="00A26837"/>
    <w:rsid w:val="00A26A35"/>
    <w:rsid w:val="00A26D52"/>
    <w:rsid w:val="00A271F2"/>
    <w:rsid w:val="00A27E88"/>
    <w:rsid w:val="00A30FF9"/>
    <w:rsid w:val="00A3103C"/>
    <w:rsid w:val="00A3130A"/>
    <w:rsid w:val="00A3279D"/>
    <w:rsid w:val="00A33557"/>
    <w:rsid w:val="00A347F0"/>
    <w:rsid w:val="00A40CF1"/>
    <w:rsid w:val="00A41B47"/>
    <w:rsid w:val="00A4491C"/>
    <w:rsid w:val="00A45794"/>
    <w:rsid w:val="00A4632E"/>
    <w:rsid w:val="00A47030"/>
    <w:rsid w:val="00A47E93"/>
    <w:rsid w:val="00A52F74"/>
    <w:rsid w:val="00A55002"/>
    <w:rsid w:val="00A55F11"/>
    <w:rsid w:val="00A56563"/>
    <w:rsid w:val="00A602AC"/>
    <w:rsid w:val="00A60F93"/>
    <w:rsid w:val="00A62E87"/>
    <w:rsid w:val="00A637F0"/>
    <w:rsid w:val="00A6551F"/>
    <w:rsid w:val="00A66B35"/>
    <w:rsid w:val="00A67E51"/>
    <w:rsid w:val="00A705A0"/>
    <w:rsid w:val="00A770B1"/>
    <w:rsid w:val="00A80E60"/>
    <w:rsid w:val="00A822CE"/>
    <w:rsid w:val="00A83B0D"/>
    <w:rsid w:val="00A84855"/>
    <w:rsid w:val="00A86853"/>
    <w:rsid w:val="00A87032"/>
    <w:rsid w:val="00A872EB"/>
    <w:rsid w:val="00A877CE"/>
    <w:rsid w:val="00A929F3"/>
    <w:rsid w:val="00A94315"/>
    <w:rsid w:val="00A96FDD"/>
    <w:rsid w:val="00A97EAA"/>
    <w:rsid w:val="00AA26E2"/>
    <w:rsid w:val="00AA4BC8"/>
    <w:rsid w:val="00AB18F8"/>
    <w:rsid w:val="00AB2924"/>
    <w:rsid w:val="00AB3DF2"/>
    <w:rsid w:val="00AB63A0"/>
    <w:rsid w:val="00AC0AD9"/>
    <w:rsid w:val="00AC3B3E"/>
    <w:rsid w:val="00AD377D"/>
    <w:rsid w:val="00AD478D"/>
    <w:rsid w:val="00AD4E9A"/>
    <w:rsid w:val="00AD56CD"/>
    <w:rsid w:val="00AD5D58"/>
    <w:rsid w:val="00AD6214"/>
    <w:rsid w:val="00AE1778"/>
    <w:rsid w:val="00AE4912"/>
    <w:rsid w:val="00AE4E91"/>
    <w:rsid w:val="00AE7BC1"/>
    <w:rsid w:val="00AF23E2"/>
    <w:rsid w:val="00AF44DF"/>
    <w:rsid w:val="00B0361F"/>
    <w:rsid w:val="00B04994"/>
    <w:rsid w:val="00B05DC7"/>
    <w:rsid w:val="00B06A83"/>
    <w:rsid w:val="00B155A6"/>
    <w:rsid w:val="00B17996"/>
    <w:rsid w:val="00B20AC7"/>
    <w:rsid w:val="00B20C2B"/>
    <w:rsid w:val="00B23387"/>
    <w:rsid w:val="00B23FC1"/>
    <w:rsid w:val="00B245F5"/>
    <w:rsid w:val="00B339C6"/>
    <w:rsid w:val="00B33D76"/>
    <w:rsid w:val="00B34875"/>
    <w:rsid w:val="00B369CB"/>
    <w:rsid w:val="00B40622"/>
    <w:rsid w:val="00B4116A"/>
    <w:rsid w:val="00B42982"/>
    <w:rsid w:val="00B42DB9"/>
    <w:rsid w:val="00B4409F"/>
    <w:rsid w:val="00B45B95"/>
    <w:rsid w:val="00B45E61"/>
    <w:rsid w:val="00B508B9"/>
    <w:rsid w:val="00B524FB"/>
    <w:rsid w:val="00B57D9E"/>
    <w:rsid w:val="00B6159D"/>
    <w:rsid w:val="00B62DF2"/>
    <w:rsid w:val="00B6660C"/>
    <w:rsid w:val="00B677A7"/>
    <w:rsid w:val="00B70144"/>
    <w:rsid w:val="00B706C2"/>
    <w:rsid w:val="00B70D69"/>
    <w:rsid w:val="00B710E4"/>
    <w:rsid w:val="00B72B27"/>
    <w:rsid w:val="00B75912"/>
    <w:rsid w:val="00B761F6"/>
    <w:rsid w:val="00B833B5"/>
    <w:rsid w:val="00B83B67"/>
    <w:rsid w:val="00B85127"/>
    <w:rsid w:val="00B87866"/>
    <w:rsid w:val="00B90BF7"/>
    <w:rsid w:val="00B91188"/>
    <w:rsid w:val="00B9326C"/>
    <w:rsid w:val="00B9350C"/>
    <w:rsid w:val="00B945EF"/>
    <w:rsid w:val="00B96767"/>
    <w:rsid w:val="00BA0E14"/>
    <w:rsid w:val="00BA0F43"/>
    <w:rsid w:val="00BA0FCE"/>
    <w:rsid w:val="00BA16A9"/>
    <w:rsid w:val="00BA2A72"/>
    <w:rsid w:val="00BA3B55"/>
    <w:rsid w:val="00BA5425"/>
    <w:rsid w:val="00BB0DFC"/>
    <w:rsid w:val="00BB21B7"/>
    <w:rsid w:val="00BB41D6"/>
    <w:rsid w:val="00BB53D3"/>
    <w:rsid w:val="00BB6B87"/>
    <w:rsid w:val="00BC0CB6"/>
    <w:rsid w:val="00BD0948"/>
    <w:rsid w:val="00BD11D4"/>
    <w:rsid w:val="00BD31D6"/>
    <w:rsid w:val="00BD350A"/>
    <w:rsid w:val="00BD7758"/>
    <w:rsid w:val="00BD7B0E"/>
    <w:rsid w:val="00BE4B4E"/>
    <w:rsid w:val="00BF03A7"/>
    <w:rsid w:val="00BF0D8D"/>
    <w:rsid w:val="00BF4CC4"/>
    <w:rsid w:val="00BF72FA"/>
    <w:rsid w:val="00BF7923"/>
    <w:rsid w:val="00C00AE5"/>
    <w:rsid w:val="00C02B2F"/>
    <w:rsid w:val="00C02CDA"/>
    <w:rsid w:val="00C04597"/>
    <w:rsid w:val="00C10352"/>
    <w:rsid w:val="00C1063C"/>
    <w:rsid w:val="00C126BF"/>
    <w:rsid w:val="00C12A6D"/>
    <w:rsid w:val="00C21324"/>
    <w:rsid w:val="00C216C5"/>
    <w:rsid w:val="00C23D61"/>
    <w:rsid w:val="00C25030"/>
    <w:rsid w:val="00C2768D"/>
    <w:rsid w:val="00C30C4D"/>
    <w:rsid w:val="00C31C5F"/>
    <w:rsid w:val="00C33F32"/>
    <w:rsid w:val="00C342C2"/>
    <w:rsid w:val="00C34BB7"/>
    <w:rsid w:val="00C40BF3"/>
    <w:rsid w:val="00C40D04"/>
    <w:rsid w:val="00C413F4"/>
    <w:rsid w:val="00C41632"/>
    <w:rsid w:val="00C41755"/>
    <w:rsid w:val="00C41CB0"/>
    <w:rsid w:val="00C42071"/>
    <w:rsid w:val="00C42B35"/>
    <w:rsid w:val="00C43ED0"/>
    <w:rsid w:val="00C44008"/>
    <w:rsid w:val="00C45137"/>
    <w:rsid w:val="00C452A6"/>
    <w:rsid w:val="00C45CD5"/>
    <w:rsid w:val="00C4633F"/>
    <w:rsid w:val="00C52ED3"/>
    <w:rsid w:val="00C54004"/>
    <w:rsid w:val="00C577B5"/>
    <w:rsid w:val="00C62BB9"/>
    <w:rsid w:val="00C62DD3"/>
    <w:rsid w:val="00C62FA1"/>
    <w:rsid w:val="00C637A0"/>
    <w:rsid w:val="00C641E0"/>
    <w:rsid w:val="00C6481B"/>
    <w:rsid w:val="00C655DF"/>
    <w:rsid w:val="00C769B9"/>
    <w:rsid w:val="00C77156"/>
    <w:rsid w:val="00C77799"/>
    <w:rsid w:val="00C85D53"/>
    <w:rsid w:val="00C902F5"/>
    <w:rsid w:val="00C92459"/>
    <w:rsid w:val="00C92468"/>
    <w:rsid w:val="00C93D9C"/>
    <w:rsid w:val="00C952A9"/>
    <w:rsid w:val="00C95A6A"/>
    <w:rsid w:val="00C95BB7"/>
    <w:rsid w:val="00CA2491"/>
    <w:rsid w:val="00CA25EC"/>
    <w:rsid w:val="00CA2C16"/>
    <w:rsid w:val="00CA3131"/>
    <w:rsid w:val="00CA395E"/>
    <w:rsid w:val="00CA648B"/>
    <w:rsid w:val="00CB1FB2"/>
    <w:rsid w:val="00CB760D"/>
    <w:rsid w:val="00CC39F4"/>
    <w:rsid w:val="00CC3A35"/>
    <w:rsid w:val="00CC761D"/>
    <w:rsid w:val="00CC7B42"/>
    <w:rsid w:val="00CD3EFF"/>
    <w:rsid w:val="00CD50C0"/>
    <w:rsid w:val="00CE09C5"/>
    <w:rsid w:val="00CE0EC4"/>
    <w:rsid w:val="00CE0FF4"/>
    <w:rsid w:val="00CE1194"/>
    <w:rsid w:val="00CE12FC"/>
    <w:rsid w:val="00CE5CC1"/>
    <w:rsid w:val="00CF1B57"/>
    <w:rsid w:val="00CF3ADF"/>
    <w:rsid w:val="00CF3F65"/>
    <w:rsid w:val="00CF5B39"/>
    <w:rsid w:val="00CF7AA6"/>
    <w:rsid w:val="00D00531"/>
    <w:rsid w:val="00D010E0"/>
    <w:rsid w:val="00D01646"/>
    <w:rsid w:val="00D05995"/>
    <w:rsid w:val="00D05BE7"/>
    <w:rsid w:val="00D06E3F"/>
    <w:rsid w:val="00D14758"/>
    <w:rsid w:val="00D14D1D"/>
    <w:rsid w:val="00D17192"/>
    <w:rsid w:val="00D23539"/>
    <w:rsid w:val="00D23AB8"/>
    <w:rsid w:val="00D23AEC"/>
    <w:rsid w:val="00D24ABF"/>
    <w:rsid w:val="00D24F37"/>
    <w:rsid w:val="00D270AE"/>
    <w:rsid w:val="00D31A08"/>
    <w:rsid w:val="00D32AD9"/>
    <w:rsid w:val="00D36576"/>
    <w:rsid w:val="00D37B94"/>
    <w:rsid w:val="00D42396"/>
    <w:rsid w:val="00D45740"/>
    <w:rsid w:val="00D459D3"/>
    <w:rsid w:val="00D46205"/>
    <w:rsid w:val="00D50E8B"/>
    <w:rsid w:val="00D54130"/>
    <w:rsid w:val="00D55009"/>
    <w:rsid w:val="00D614C1"/>
    <w:rsid w:val="00D62DCB"/>
    <w:rsid w:val="00D653A4"/>
    <w:rsid w:val="00D66E77"/>
    <w:rsid w:val="00D67784"/>
    <w:rsid w:val="00D67ADC"/>
    <w:rsid w:val="00D67D3A"/>
    <w:rsid w:val="00D70ABE"/>
    <w:rsid w:val="00D710C6"/>
    <w:rsid w:val="00D7213D"/>
    <w:rsid w:val="00D7401B"/>
    <w:rsid w:val="00D764AC"/>
    <w:rsid w:val="00D76A43"/>
    <w:rsid w:val="00D85CAF"/>
    <w:rsid w:val="00D87367"/>
    <w:rsid w:val="00D90086"/>
    <w:rsid w:val="00D9447B"/>
    <w:rsid w:val="00D955EE"/>
    <w:rsid w:val="00D95F59"/>
    <w:rsid w:val="00DA616C"/>
    <w:rsid w:val="00DB0F98"/>
    <w:rsid w:val="00DB417F"/>
    <w:rsid w:val="00DB48F9"/>
    <w:rsid w:val="00DB6E73"/>
    <w:rsid w:val="00DB7262"/>
    <w:rsid w:val="00DC0189"/>
    <w:rsid w:val="00DC2053"/>
    <w:rsid w:val="00DC29CB"/>
    <w:rsid w:val="00DC4492"/>
    <w:rsid w:val="00DC4FF7"/>
    <w:rsid w:val="00DC505D"/>
    <w:rsid w:val="00DC5784"/>
    <w:rsid w:val="00DC5D2E"/>
    <w:rsid w:val="00DC78EA"/>
    <w:rsid w:val="00DD7BC3"/>
    <w:rsid w:val="00DD7D88"/>
    <w:rsid w:val="00DD7E33"/>
    <w:rsid w:val="00DE0473"/>
    <w:rsid w:val="00DE21D0"/>
    <w:rsid w:val="00DE24AB"/>
    <w:rsid w:val="00DE7C9C"/>
    <w:rsid w:val="00DF3B39"/>
    <w:rsid w:val="00DF4ADE"/>
    <w:rsid w:val="00DF5193"/>
    <w:rsid w:val="00E00264"/>
    <w:rsid w:val="00E004D5"/>
    <w:rsid w:val="00E032B7"/>
    <w:rsid w:val="00E043E6"/>
    <w:rsid w:val="00E057AB"/>
    <w:rsid w:val="00E05940"/>
    <w:rsid w:val="00E07CE1"/>
    <w:rsid w:val="00E10A08"/>
    <w:rsid w:val="00E12384"/>
    <w:rsid w:val="00E138BD"/>
    <w:rsid w:val="00E16E4A"/>
    <w:rsid w:val="00E26682"/>
    <w:rsid w:val="00E27054"/>
    <w:rsid w:val="00E30A3B"/>
    <w:rsid w:val="00E3267F"/>
    <w:rsid w:val="00E37CBA"/>
    <w:rsid w:val="00E402F1"/>
    <w:rsid w:val="00E41534"/>
    <w:rsid w:val="00E4196D"/>
    <w:rsid w:val="00E42714"/>
    <w:rsid w:val="00E432D6"/>
    <w:rsid w:val="00E43AD5"/>
    <w:rsid w:val="00E43E17"/>
    <w:rsid w:val="00E50391"/>
    <w:rsid w:val="00E53BB0"/>
    <w:rsid w:val="00E53DAD"/>
    <w:rsid w:val="00E60251"/>
    <w:rsid w:val="00E6446D"/>
    <w:rsid w:val="00E66CA8"/>
    <w:rsid w:val="00E66E79"/>
    <w:rsid w:val="00E674E9"/>
    <w:rsid w:val="00E70140"/>
    <w:rsid w:val="00E71210"/>
    <w:rsid w:val="00E72D54"/>
    <w:rsid w:val="00E738EE"/>
    <w:rsid w:val="00E81E72"/>
    <w:rsid w:val="00E82870"/>
    <w:rsid w:val="00E850E9"/>
    <w:rsid w:val="00E90916"/>
    <w:rsid w:val="00E90991"/>
    <w:rsid w:val="00E921CE"/>
    <w:rsid w:val="00E927D2"/>
    <w:rsid w:val="00E938AF"/>
    <w:rsid w:val="00E9557D"/>
    <w:rsid w:val="00E9744E"/>
    <w:rsid w:val="00E97C30"/>
    <w:rsid w:val="00EA1715"/>
    <w:rsid w:val="00EA2C26"/>
    <w:rsid w:val="00EA32B9"/>
    <w:rsid w:val="00EA4B81"/>
    <w:rsid w:val="00EA52FE"/>
    <w:rsid w:val="00EA5DF6"/>
    <w:rsid w:val="00EA687D"/>
    <w:rsid w:val="00EC08CE"/>
    <w:rsid w:val="00EC1696"/>
    <w:rsid w:val="00EC7272"/>
    <w:rsid w:val="00EC77E2"/>
    <w:rsid w:val="00EC7DA2"/>
    <w:rsid w:val="00ED0E07"/>
    <w:rsid w:val="00ED288A"/>
    <w:rsid w:val="00ED65C4"/>
    <w:rsid w:val="00ED7356"/>
    <w:rsid w:val="00ED77BD"/>
    <w:rsid w:val="00EE40F2"/>
    <w:rsid w:val="00EE59C6"/>
    <w:rsid w:val="00EE5B98"/>
    <w:rsid w:val="00EF395C"/>
    <w:rsid w:val="00EF70C8"/>
    <w:rsid w:val="00F0401E"/>
    <w:rsid w:val="00F0567E"/>
    <w:rsid w:val="00F11BE8"/>
    <w:rsid w:val="00F13EA6"/>
    <w:rsid w:val="00F14139"/>
    <w:rsid w:val="00F164EB"/>
    <w:rsid w:val="00F230CB"/>
    <w:rsid w:val="00F27E40"/>
    <w:rsid w:val="00F31085"/>
    <w:rsid w:val="00F3281D"/>
    <w:rsid w:val="00F35B0C"/>
    <w:rsid w:val="00F40A88"/>
    <w:rsid w:val="00F41330"/>
    <w:rsid w:val="00F43051"/>
    <w:rsid w:val="00F44438"/>
    <w:rsid w:val="00F44BAB"/>
    <w:rsid w:val="00F46909"/>
    <w:rsid w:val="00F473CB"/>
    <w:rsid w:val="00F53EF5"/>
    <w:rsid w:val="00F55820"/>
    <w:rsid w:val="00F62001"/>
    <w:rsid w:val="00F657DB"/>
    <w:rsid w:val="00F669B9"/>
    <w:rsid w:val="00F67EF5"/>
    <w:rsid w:val="00F70A31"/>
    <w:rsid w:val="00F7124B"/>
    <w:rsid w:val="00F717F1"/>
    <w:rsid w:val="00F71EEB"/>
    <w:rsid w:val="00F73AFB"/>
    <w:rsid w:val="00F7622F"/>
    <w:rsid w:val="00F845A0"/>
    <w:rsid w:val="00F85600"/>
    <w:rsid w:val="00F90D91"/>
    <w:rsid w:val="00F91EE8"/>
    <w:rsid w:val="00FA3197"/>
    <w:rsid w:val="00FA69D9"/>
    <w:rsid w:val="00FA71F3"/>
    <w:rsid w:val="00FB0191"/>
    <w:rsid w:val="00FB31CA"/>
    <w:rsid w:val="00FB329D"/>
    <w:rsid w:val="00FB363A"/>
    <w:rsid w:val="00FB3DB2"/>
    <w:rsid w:val="00FB4BEF"/>
    <w:rsid w:val="00FB5771"/>
    <w:rsid w:val="00FC04DC"/>
    <w:rsid w:val="00FC0F2E"/>
    <w:rsid w:val="00FC3816"/>
    <w:rsid w:val="00FC3834"/>
    <w:rsid w:val="00FC4354"/>
    <w:rsid w:val="00FC4BD5"/>
    <w:rsid w:val="00FD0C6C"/>
    <w:rsid w:val="00FD0DB3"/>
    <w:rsid w:val="00FD13AB"/>
    <w:rsid w:val="00FD3084"/>
    <w:rsid w:val="00FD4139"/>
    <w:rsid w:val="00FD4F5E"/>
    <w:rsid w:val="00FD5D29"/>
    <w:rsid w:val="00FE0186"/>
    <w:rsid w:val="00FE7F31"/>
    <w:rsid w:val="00FF0F35"/>
    <w:rsid w:val="00FF1C98"/>
    <w:rsid w:val="00FF6EB1"/>
    <w:rsid w:val="00FF7F0A"/>
    <w:rsid w:val="00FF7F95"/>
    <w:rsid w:val="012F0696"/>
    <w:rsid w:val="014B02E4"/>
    <w:rsid w:val="07262778"/>
    <w:rsid w:val="08445EBE"/>
    <w:rsid w:val="08900315"/>
    <w:rsid w:val="095E3CE3"/>
    <w:rsid w:val="0966551F"/>
    <w:rsid w:val="097F49BB"/>
    <w:rsid w:val="0A146810"/>
    <w:rsid w:val="0B34739E"/>
    <w:rsid w:val="0B4C4BCD"/>
    <w:rsid w:val="0BDF7809"/>
    <w:rsid w:val="0C987766"/>
    <w:rsid w:val="0CD60F00"/>
    <w:rsid w:val="0F6C6072"/>
    <w:rsid w:val="0FFC1F2F"/>
    <w:rsid w:val="101F26DF"/>
    <w:rsid w:val="10716182"/>
    <w:rsid w:val="11B54ABA"/>
    <w:rsid w:val="13B46BD4"/>
    <w:rsid w:val="151A0EA6"/>
    <w:rsid w:val="165226C0"/>
    <w:rsid w:val="165E2249"/>
    <w:rsid w:val="176257A7"/>
    <w:rsid w:val="19080E2D"/>
    <w:rsid w:val="19D32A11"/>
    <w:rsid w:val="1A0C0C25"/>
    <w:rsid w:val="1B6C262E"/>
    <w:rsid w:val="1CBF0E6B"/>
    <w:rsid w:val="1E6E25D9"/>
    <w:rsid w:val="1FE5152D"/>
    <w:rsid w:val="20416C72"/>
    <w:rsid w:val="234F3A23"/>
    <w:rsid w:val="24FC7314"/>
    <w:rsid w:val="258827D7"/>
    <w:rsid w:val="26582590"/>
    <w:rsid w:val="27A80F21"/>
    <w:rsid w:val="282B1FB1"/>
    <w:rsid w:val="2BB45410"/>
    <w:rsid w:val="2BEE3E84"/>
    <w:rsid w:val="2C892CD5"/>
    <w:rsid w:val="2D2656EB"/>
    <w:rsid w:val="2F42265B"/>
    <w:rsid w:val="2F5003F1"/>
    <w:rsid w:val="303612D1"/>
    <w:rsid w:val="30BB5FC5"/>
    <w:rsid w:val="31D02012"/>
    <w:rsid w:val="31EE7C0D"/>
    <w:rsid w:val="342147F2"/>
    <w:rsid w:val="34643817"/>
    <w:rsid w:val="34CA6576"/>
    <w:rsid w:val="34F34CBE"/>
    <w:rsid w:val="391B6B61"/>
    <w:rsid w:val="39BF3DD9"/>
    <w:rsid w:val="39F177BE"/>
    <w:rsid w:val="3AA430E2"/>
    <w:rsid w:val="3C9C7B4F"/>
    <w:rsid w:val="3CA94022"/>
    <w:rsid w:val="3CAC72A1"/>
    <w:rsid w:val="3CC51409"/>
    <w:rsid w:val="3CD959B1"/>
    <w:rsid w:val="3EBE1CFF"/>
    <w:rsid w:val="3EC842F0"/>
    <w:rsid w:val="3ED93AEE"/>
    <w:rsid w:val="3F935C6C"/>
    <w:rsid w:val="40E65C2B"/>
    <w:rsid w:val="42661871"/>
    <w:rsid w:val="430D1E4C"/>
    <w:rsid w:val="43804BD0"/>
    <w:rsid w:val="44387C6E"/>
    <w:rsid w:val="445F355F"/>
    <w:rsid w:val="44636F08"/>
    <w:rsid w:val="45AB6366"/>
    <w:rsid w:val="46065B38"/>
    <w:rsid w:val="472C0827"/>
    <w:rsid w:val="47F300CA"/>
    <w:rsid w:val="47FD108B"/>
    <w:rsid w:val="49A42318"/>
    <w:rsid w:val="49F3681C"/>
    <w:rsid w:val="4A17772B"/>
    <w:rsid w:val="4B1201EA"/>
    <w:rsid w:val="4B1D5464"/>
    <w:rsid w:val="4D806FB5"/>
    <w:rsid w:val="4E044651"/>
    <w:rsid w:val="4EAA4DB3"/>
    <w:rsid w:val="4EE07886"/>
    <w:rsid w:val="4FD8081A"/>
    <w:rsid w:val="50871867"/>
    <w:rsid w:val="51442E41"/>
    <w:rsid w:val="52D429D3"/>
    <w:rsid w:val="533B580F"/>
    <w:rsid w:val="53BE6CEF"/>
    <w:rsid w:val="53FD4277"/>
    <w:rsid w:val="566783DF"/>
    <w:rsid w:val="56AF03F7"/>
    <w:rsid w:val="584D0DE0"/>
    <w:rsid w:val="58C6399A"/>
    <w:rsid w:val="5ABF77A7"/>
    <w:rsid w:val="5AD1410F"/>
    <w:rsid w:val="5C156C3D"/>
    <w:rsid w:val="5C935526"/>
    <w:rsid w:val="5F192373"/>
    <w:rsid w:val="5FFC24D2"/>
    <w:rsid w:val="60DB10CE"/>
    <w:rsid w:val="616B4975"/>
    <w:rsid w:val="61CF4FA1"/>
    <w:rsid w:val="62B053D8"/>
    <w:rsid w:val="6363623E"/>
    <w:rsid w:val="63F53305"/>
    <w:rsid w:val="64697B46"/>
    <w:rsid w:val="64BE1A7A"/>
    <w:rsid w:val="6609457C"/>
    <w:rsid w:val="661D7E04"/>
    <w:rsid w:val="66A43042"/>
    <w:rsid w:val="66C63667"/>
    <w:rsid w:val="67770017"/>
    <w:rsid w:val="68654C83"/>
    <w:rsid w:val="6978354D"/>
    <w:rsid w:val="69C50F5F"/>
    <w:rsid w:val="69D165BA"/>
    <w:rsid w:val="6B837A60"/>
    <w:rsid w:val="6BB0450D"/>
    <w:rsid w:val="6BB645E5"/>
    <w:rsid w:val="6CDD6769"/>
    <w:rsid w:val="6CDF0679"/>
    <w:rsid w:val="6D012104"/>
    <w:rsid w:val="6D9C5056"/>
    <w:rsid w:val="6DD01154"/>
    <w:rsid w:val="6E2273E8"/>
    <w:rsid w:val="6EB218DF"/>
    <w:rsid w:val="6ED231EF"/>
    <w:rsid w:val="6EFE23DB"/>
    <w:rsid w:val="70875686"/>
    <w:rsid w:val="70BD776F"/>
    <w:rsid w:val="7235737C"/>
    <w:rsid w:val="72FA4A18"/>
    <w:rsid w:val="763C492E"/>
    <w:rsid w:val="766854B1"/>
    <w:rsid w:val="77903F0E"/>
    <w:rsid w:val="78F57339"/>
    <w:rsid w:val="79D851AD"/>
    <w:rsid w:val="7A7C3972"/>
    <w:rsid w:val="7AD5466B"/>
    <w:rsid w:val="7AE93032"/>
    <w:rsid w:val="7B7A4A86"/>
    <w:rsid w:val="7B7E391E"/>
    <w:rsid w:val="7BE65789"/>
    <w:rsid w:val="7E2F1585"/>
    <w:rsid w:val="7EEA774B"/>
    <w:rsid w:val="7F196F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_Style 1"/>
    <w:qFormat/>
    <w:uiPriority w:val="0"/>
    <w:pPr>
      <w:widowControl w:val="0"/>
      <w:jc w:val="both"/>
    </w:pPr>
    <w:rPr>
      <w:rFonts w:ascii="仿宋" w:hAnsi="仿宋" w:eastAsia="仿宋" w:cs="仿宋"/>
      <w:kern w:val="2"/>
      <w:sz w:val="21"/>
      <w:szCs w:val="21"/>
      <w:lang w:val="en-US" w:eastAsia="zh-CN" w:bidi="ar-SA"/>
    </w:rPr>
  </w:style>
  <w:style w:type="paragraph" w:styleId="3">
    <w:name w:val="footer"/>
    <w:basedOn w:val="1"/>
    <w:link w:val="13"/>
    <w:semiHidden/>
    <w:qFormat/>
    <w:uiPriority w:val="99"/>
    <w:pPr>
      <w:tabs>
        <w:tab w:val="center" w:pos="4153"/>
        <w:tab w:val="right" w:pos="8306"/>
      </w:tabs>
      <w:snapToGrid w:val="0"/>
      <w:jc w:val="left"/>
    </w:pPr>
    <w:rPr>
      <w:sz w:val="18"/>
      <w:szCs w:val="18"/>
    </w:rPr>
  </w:style>
  <w:style w:type="paragraph" w:styleId="4">
    <w:name w:val="header"/>
    <w:basedOn w:val="1"/>
    <w:link w:val="12"/>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locked/>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9">
    <w:name w:val="FollowedHyperlink"/>
    <w:basedOn w:val="8"/>
    <w:semiHidden/>
    <w:unhideWhenUsed/>
    <w:qFormat/>
    <w:uiPriority w:val="99"/>
    <w:rPr>
      <w:color w:val="444444"/>
      <w:u w:val="none"/>
    </w:rPr>
  </w:style>
  <w:style w:type="character" w:styleId="10">
    <w:name w:val="Hyperlink"/>
    <w:basedOn w:val="8"/>
    <w:semiHidden/>
    <w:unhideWhenUsed/>
    <w:qFormat/>
    <w:uiPriority w:val="99"/>
    <w:rPr>
      <w:color w:val="444444"/>
      <w:u w:val="none"/>
    </w:rPr>
  </w:style>
  <w:style w:type="paragraph" w:customStyle="1" w:styleId="11">
    <w:name w:val="p0"/>
    <w:basedOn w:val="1"/>
    <w:qFormat/>
    <w:uiPriority w:val="99"/>
    <w:pPr>
      <w:widowControl/>
      <w:spacing w:before="100" w:beforeAutospacing="1" w:after="100" w:afterAutospacing="1"/>
      <w:jc w:val="left"/>
    </w:pPr>
    <w:rPr>
      <w:rFonts w:ascii="宋体" w:hAnsi="宋体" w:cs="宋体"/>
      <w:color w:val="000000"/>
      <w:kern w:val="0"/>
      <w:sz w:val="18"/>
      <w:szCs w:val="18"/>
    </w:rPr>
  </w:style>
  <w:style w:type="character" w:customStyle="1" w:styleId="12">
    <w:name w:val="页眉 Char"/>
    <w:basedOn w:val="8"/>
    <w:link w:val="4"/>
    <w:semiHidden/>
    <w:qFormat/>
    <w:locked/>
    <w:uiPriority w:val="99"/>
    <w:rPr>
      <w:rFonts w:ascii="Times New Roman" w:hAnsi="Times New Roman" w:eastAsia="宋体" w:cs="Times New Roman"/>
      <w:sz w:val="18"/>
      <w:szCs w:val="18"/>
    </w:rPr>
  </w:style>
  <w:style w:type="character" w:customStyle="1" w:styleId="13">
    <w:name w:val="页脚 Char"/>
    <w:basedOn w:val="8"/>
    <w:link w:val="3"/>
    <w:semiHidden/>
    <w:qFormat/>
    <w:locked/>
    <w:uiPriority w:val="99"/>
    <w:rPr>
      <w:rFonts w:ascii="Times New Roman" w:hAnsi="Times New Roman" w:eastAsia="宋体" w:cs="Times New Roman"/>
      <w:sz w:val="18"/>
      <w:szCs w:val="18"/>
    </w:rPr>
  </w:style>
  <w:style w:type="character" w:customStyle="1" w:styleId="14">
    <w:name w:val="wx-space"/>
    <w:basedOn w:val="8"/>
    <w:qFormat/>
    <w:uiPriority w:val="0"/>
  </w:style>
  <w:style w:type="character" w:customStyle="1" w:styleId="15">
    <w:name w:val="wx-space1"/>
    <w:basedOn w:val="8"/>
    <w:qFormat/>
    <w:uiPriority w:val="0"/>
  </w:style>
  <w:style w:type="character" w:customStyle="1" w:styleId="16">
    <w:name w:val="hover25"/>
    <w:basedOn w:val="8"/>
    <w:qFormat/>
    <w:uiPriority w:val="0"/>
    <w:rPr>
      <w:color w:val="000000"/>
      <w:shd w:val="clear" w:fill="FFFFFF"/>
    </w:rPr>
  </w:style>
  <w:style w:type="character" w:customStyle="1" w:styleId="17">
    <w:name w:val="font21"/>
    <w:basedOn w:val="8"/>
    <w:qFormat/>
    <w:uiPriority w:val="0"/>
    <w:rPr>
      <w:rFonts w:hint="default" w:ascii="仿宋_GB2312" w:eastAsia="仿宋_GB2312" w:cs="仿宋_GB2312"/>
      <w:color w:val="000000"/>
      <w:sz w:val="20"/>
      <w:szCs w:val="20"/>
      <w:u w:val="none"/>
    </w:rPr>
  </w:style>
  <w:style w:type="character" w:customStyle="1" w:styleId="18">
    <w:name w:val="font11"/>
    <w:basedOn w:val="8"/>
    <w:qFormat/>
    <w:uiPriority w:val="0"/>
    <w:rPr>
      <w:rFonts w:hint="eastAsia" w:ascii="宋体" w:hAnsi="宋体" w:eastAsia="宋体" w:cs="宋体"/>
      <w:color w:val="000000"/>
      <w:sz w:val="20"/>
      <w:szCs w:val="20"/>
      <w:u w:val="none"/>
    </w:rPr>
  </w:style>
  <w:style w:type="character" w:customStyle="1" w:styleId="19">
    <w:name w:val="font01"/>
    <w:basedOn w:val="8"/>
    <w:qFormat/>
    <w:uiPriority w:val="0"/>
    <w:rPr>
      <w:rFonts w:hint="eastAsia" w:ascii="宋体" w:hAnsi="宋体" w:eastAsia="宋体" w:cs="宋体"/>
      <w:color w:val="000000"/>
      <w:sz w:val="20"/>
      <w:szCs w:val="20"/>
      <w:u w:val="none"/>
    </w:rPr>
  </w:style>
  <w:style w:type="character" w:customStyle="1" w:styleId="20">
    <w:name w:val="font31"/>
    <w:basedOn w:val="8"/>
    <w:qFormat/>
    <w:uiPriority w:val="0"/>
    <w:rPr>
      <w:rFonts w:hint="eastAsia" w:ascii="仿宋" w:hAnsi="仿宋" w:eastAsia="仿宋" w:cs="仿宋"/>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332</Words>
  <Characters>1894</Characters>
  <Lines>15</Lines>
  <Paragraphs>4</Paragraphs>
  <TotalTime>3</TotalTime>
  <ScaleCrop>false</ScaleCrop>
  <LinksUpToDate>false</LinksUpToDate>
  <CharactersWithSpaces>2222</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2017-03-08T17:26:00Z</dcterms:created>
  <dc:creator>AutoBVT</dc:creator>
  <cp:lastModifiedBy>user</cp:lastModifiedBy>
  <cp:lastPrinted>2022-03-24T08:22:00Z</cp:lastPrinted>
  <dcterms:modified xsi:type="dcterms:W3CDTF">2023-02-23T16:16:20Z</dcterms:modified>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127F283EBFF2B48CD420F7635DC7AA81</vt:lpwstr>
  </property>
</Properties>
</file>