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after="156" w:afterLines="50" w:line="400" w:lineRule="exact"/>
        <w:rPr>
          <w:rFonts w:ascii="Times New Roman" w:hAnsi="Times New Roman" w:eastAsia="黑体"/>
          <w:sz w:val="32"/>
          <w:szCs w:val="40"/>
        </w:rPr>
      </w:pPr>
      <w:r>
        <w:rPr>
          <w:rFonts w:ascii="Times New Roman" w:hAnsi="Times New Roman" w:eastAsia="黑体"/>
          <w:sz w:val="32"/>
          <w:szCs w:val="40"/>
        </w:rPr>
        <w:t>附件1</w:t>
      </w:r>
      <w:bookmarkStart w:id="0" w:name="_GoBack"/>
      <w:bookmarkEnd w:id="0"/>
    </w:p>
    <w:p>
      <w:pPr>
        <w:topLinePunct/>
        <w:spacing w:after="156" w:afterLines="50" w:line="500"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万荣县乡（镇）法定行政执法事项清单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4"/>
        <w:gridCol w:w="1078"/>
        <w:gridCol w:w="2380"/>
        <w:gridCol w:w="7922"/>
        <w:gridCol w:w="110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blHeader/>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职权类型</w:t>
            </w:r>
          </w:p>
        </w:tc>
        <w:tc>
          <w:tcPr>
            <w:tcW w:w="2380"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pacing w:val="40"/>
                <w:sz w:val="24"/>
              </w:rPr>
              <w:t>职权名</w:t>
            </w:r>
            <w:r>
              <w:rPr>
                <w:rFonts w:ascii="Times New Roman" w:hAnsi="Times New Roman" w:eastAsia="仿宋_GB2312"/>
                <w:color w:val="000000"/>
                <w:sz w:val="24"/>
              </w:rPr>
              <w:t>称</w:t>
            </w:r>
          </w:p>
        </w:tc>
        <w:tc>
          <w:tcPr>
            <w:tcW w:w="7922"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pacing w:val="100"/>
                <w:sz w:val="24"/>
              </w:rPr>
              <w:t>职权依</w:t>
            </w:r>
            <w:r>
              <w:rPr>
                <w:rFonts w:ascii="Times New Roman" w:hAnsi="Times New Roman" w:eastAsia="仿宋_GB2312"/>
                <w:color w:val="000000"/>
                <w:sz w:val="24"/>
              </w:rPr>
              <w:t>据</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实施主体</w:t>
            </w:r>
          </w:p>
        </w:tc>
        <w:tc>
          <w:tcPr>
            <w:tcW w:w="700"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4"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对生产经营单位安全生产状况的监督检查</w:t>
            </w:r>
          </w:p>
        </w:tc>
        <w:tc>
          <w:tcPr>
            <w:tcW w:w="7922" w:type="dxa"/>
            <w:noWrap w:val="0"/>
            <w:vAlign w:val="center"/>
          </w:tcPr>
          <w:p>
            <w:pPr>
              <w:topLinePunct/>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【法律】《中华人民共和国安全生产法》（2021年修正）</w:t>
            </w:r>
          </w:p>
          <w:p>
            <w:pPr>
              <w:topLinePunct/>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第九条第二款</w:t>
            </w:r>
            <w:r>
              <w:rPr>
                <w:rFonts w:ascii="Times New Roman" w:hAnsi="Times New Roman" w:eastAsia="仿宋_GB2312"/>
                <w:b/>
                <w:color w:val="000000"/>
                <w:sz w:val="24"/>
              </w:rPr>
              <w:t xml:space="preserve">  </w:t>
            </w:r>
            <w:r>
              <w:rPr>
                <w:rFonts w:ascii="Times New Roman" w:hAnsi="Times New Roman" w:eastAsia="仿宋_GB2312"/>
                <w:color w:val="000000"/>
                <w:sz w:val="24"/>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topLinePunct/>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【政府规章】《山西省生产经营单位主要负责人安全生产责任制规定》（2021年省政府令第293号）</w:t>
            </w:r>
          </w:p>
          <w:p>
            <w:pPr>
              <w:topLinePunct/>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第四</w:t>
            </w:r>
            <w:r>
              <w:rPr>
                <w:rFonts w:ascii="Times New Roman" w:hAnsi="Times New Roman" w:eastAsia="仿宋_GB2312"/>
                <w:color w:val="000000"/>
                <w:spacing w:val="2"/>
                <w:sz w:val="24"/>
              </w:rPr>
              <w:t>条</w:t>
            </w:r>
            <w:r>
              <w:rPr>
                <w:rFonts w:ascii="Times New Roman" w:hAnsi="Times New Roman" w:eastAsia="仿宋_GB2312"/>
                <w:color w:val="000000"/>
                <w:spacing w:val="4"/>
                <w:sz w:val="24"/>
              </w:rPr>
              <w:t>第二款</w:t>
            </w:r>
            <w:r>
              <w:rPr>
                <w:rFonts w:ascii="Times New Roman" w:hAnsi="Times New Roman" w:eastAsia="仿宋_GB2312"/>
                <w:b/>
                <w:color w:val="000000"/>
                <w:spacing w:val="4"/>
                <w:sz w:val="24"/>
              </w:rPr>
              <w:t xml:space="preserve"> </w:t>
            </w:r>
            <w:r>
              <w:rPr>
                <w:rFonts w:ascii="Times New Roman" w:hAnsi="Times New Roman" w:eastAsia="仿宋_GB2312"/>
                <w:color w:val="000000"/>
                <w:spacing w:val="4"/>
                <w:sz w:val="24"/>
              </w:rPr>
              <w:t xml:space="preserve"> 乡镇人民政府和街道办事处，以及开发区、港区、保税区、风景区等应当按照职责，或者受上级人民政府有关部门委托，依法对本行政区域内或者管理区域内生产经营单位主要负责人安全生</w:t>
            </w:r>
            <w:r>
              <w:rPr>
                <w:rFonts w:ascii="Times New Roman" w:hAnsi="Times New Roman" w:eastAsia="仿宋_GB2312"/>
                <w:color w:val="000000"/>
                <w:sz w:val="24"/>
              </w:rPr>
              <w:t>产责任制实施情况进行监督检查。</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4"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pacing w:val="-11"/>
                <w:sz w:val="24"/>
              </w:rPr>
              <w:t>对本行政区域内农产品生产的检查</w:t>
            </w:r>
          </w:p>
        </w:tc>
        <w:tc>
          <w:tcPr>
            <w:tcW w:w="7922" w:type="dxa"/>
            <w:noWrap w:val="0"/>
            <w:vAlign w:val="center"/>
          </w:tcPr>
          <w:p>
            <w:pPr>
              <w:topLinePunct/>
              <w:autoSpaceDN w:val="0"/>
              <w:spacing w:line="24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【地方性法规】《山西省农产品质量安全条例》（2012年3月施行）</w:t>
            </w:r>
          </w:p>
          <w:p>
            <w:pPr>
              <w:topLinePunct/>
              <w:autoSpaceDN w:val="0"/>
              <w:spacing w:line="24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第三条第三款</w:t>
            </w:r>
            <w:r>
              <w:rPr>
                <w:rFonts w:ascii="Times New Roman" w:hAnsi="Times New Roman" w:eastAsia="仿宋_GB2312"/>
                <w:b/>
                <w:color w:val="000000"/>
                <w:sz w:val="24"/>
              </w:rPr>
              <w:t xml:space="preserve">  </w:t>
            </w:r>
            <w:r>
              <w:rPr>
                <w:rFonts w:ascii="Times New Roman" w:hAnsi="Times New Roman" w:eastAsia="仿宋_GB2312"/>
                <w:color w:val="000000"/>
                <w:sz w:val="24"/>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1"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对食品小作坊、小经营店和小摊点的生产经营活动的现场巡查</w:t>
            </w:r>
          </w:p>
        </w:tc>
        <w:tc>
          <w:tcPr>
            <w:tcW w:w="7922" w:type="dxa"/>
            <w:noWrap w:val="0"/>
            <w:vAlign w:val="center"/>
          </w:tcPr>
          <w:p>
            <w:pPr>
              <w:topLinePunct/>
              <w:autoSpaceDN w:val="0"/>
              <w:spacing w:line="260" w:lineRule="exact"/>
              <w:textAlignment w:val="center"/>
              <w:rPr>
                <w:rFonts w:ascii="Times New Roman" w:hAnsi="Times New Roman" w:eastAsia="仿宋_GB2312"/>
                <w:color w:val="000000"/>
                <w:spacing w:val="-4"/>
                <w:sz w:val="24"/>
              </w:rPr>
            </w:pPr>
            <w:r>
              <w:rPr>
                <w:rFonts w:ascii="Times New Roman" w:hAnsi="Times New Roman" w:eastAsia="仿宋_GB2312"/>
                <w:color w:val="000000"/>
                <w:sz w:val="24"/>
              </w:rPr>
              <w:t>【</w:t>
            </w:r>
            <w:r>
              <w:rPr>
                <w:rFonts w:ascii="Times New Roman" w:hAnsi="Times New Roman" w:eastAsia="仿宋_GB2312"/>
                <w:color w:val="000000"/>
                <w:spacing w:val="-4"/>
                <w:sz w:val="24"/>
              </w:rPr>
              <w:t>地方性法规】《山西省食品小作坊小经营店小摊点管理条例》（2021年修正）</w:t>
            </w:r>
          </w:p>
          <w:p>
            <w:pPr>
              <w:topLinePunct/>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第三十六条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3"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对辖区内渡口渡运的监督检查</w:t>
            </w:r>
          </w:p>
        </w:tc>
        <w:tc>
          <w:tcPr>
            <w:tcW w:w="7922"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【部门规章】《内河渡口渡船安全管理规定》（2014年交通运输部令第9号）</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第三十五条</w:t>
            </w:r>
            <w:r>
              <w:rPr>
                <w:rFonts w:ascii="Times New Roman" w:hAnsi="Times New Roman" w:eastAsia="仿宋_GB2312"/>
                <w:b/>
                <w:color w:val="000000"/>
                <w:sz w:val="24"/>
              </w:rPr>
              <w:t xml:space="preserve">  </w:t>
            </w:r>
            <w:r>
              <w:rPr>
                <w:rFonts w:ascii="Times New Roman" w:hAnsi="Times New Roman" w:eastAsia="仿宋_GB2312"/>
                <w:color w:val="000000"/>
                <w:sz w:val="24"/>
              </w:rPr>
              <w:t>县级以上地方人民政府及其指定的有关部门、乡镇渡口所在地乡镇人民政府应当建立渡口渡运安全检查制度，并组织落实。在监督检查中发现渡口存在安全隐患的，应当责令立即消除安全隐患或者限期整改。</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第三十六条</w:t>
            </w:r>
            <w:r>
              <w:rPr>
                <w:rFonts w:ascii="Times New Roman" w:hAnsi="Times New Roman" w:eastAsia="仿宋_GB2312"/>
                <w:b/>
                <w:color w:val="000000"/>
                <w:sz w:val="24"/>
              </w:rPr>
              <w:t xml:space="preserve"> </w:t>
            </w:r>
            <w:r>
              <w:rPr>
                <w:rFonts w:ascii="Times New Roman" w:hAnsi="Times New Roman" w:eastAsia="仿宋_GB2312"/>
                <w:b/>
                <w:color w:val="000000"/>
                <w:spacing w:val="-4"/>
                <w:sz w:val="24"/>
              </w:rPr>
              <w:t xml:space="preserve"> </w:t>
            </w:r>
            <w:r>
              <w:rPr>
                <w:rFonts w:ascii="Times New Roman" w:hAnsi="Times New Roman" w:eastAsia="仿宋_GB2312"/>
                <w:color w:val="000000"/>
                <w:spacing w:val="-4"/>
                <w:sz w:val="24"/>
              </w:rPr>
              <w:t>县级人民政府指定的有关部门应当督促指导渡运量较大且具备一定条件的乡镇渡口所在地乡镇人民政府建立乡镇渡口渡船签单发航制度，真实、准确地记录乘</w:t>
            </w:r>
            <w:r>
              <w:rPr>
                <w:rFonts w:ascii="Times New Roman" w:hAnsi="Times New Roman" w:eastAsia="仿宋_GB2312"/>
                <w:color w:val="000000"/>
                <w:sz w:val="24"/>
              </w:rPr>
              <w:t>员数量及核查人、车、畜积载和开航条件等内容。</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签单人员应当如实记录渡运情况，不得弄虚作假；发现渡运安全隐患或者违法行为，可能危及渡运安全时，应当报告乡镇人民政府。</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乡镇人民政府应当定期对签单发航制度的实施情况进行检查。</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7"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对货运源头单位的监督检查</w:t>
            </w:r>
          </w:p>
        </w:tc>
        <w:tc>
          <w:tcPr>
            <w:tcW w:w="7922"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【法律】《中华人民共和国安全生产法》（2021年修正）</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第九条第二款</w:t>
            </w:r>
            <w:r>
              <w:rPr>
                <w:rFonts w:ascii="Times New Roman" w:hAnsi="Times New Roman" w:eastAsia="仿宋_GB2312"/>
                <w:b/>
                <w:color w:val="000000"/>
                <w:sz w:val="24"/>
              </w:rPr>
              <w:t xml:space="preserve">  </w:t>
            </w:r>
            <w:r>
              <w:rPr>
                <w:rFonts w:ascii="Times New Roman" w:hAnsi="Times New Roman" w:eastAsia="仿宋_GB2312"/>
                <w:color w:val="000000"/>
                <w:sz w:val="24"/>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【政府</w:t>
            </w:r>
            <w:r>
              <w:rPr>
                <w:rFonts w:ascii="Times New Roman" w:hAnsi="Times New Roman" w:eastAsia="仿宋_GB2312"/>
                <w:color w:val="000000"/>
                <w:spacing w:val="4"/>
                <w:sz w:val="24"/>
              </w:rPr>
              <w:t>规章】《山西省治理道路货物运输源头超限超载办法》（2023年省政府令第</w:t>
            </w:r>
            <w:r>
              <w:rPr>
                <w:rFonts w:ascii="Times New Roman" w:hAnsi="Times New Roman" w:eastAsia="仿宋_GB2312"/>
                <w:color w:val="000000"/>
                <w:sz w:val="24"/>
              </w:rPr>
              <w:t>301号）</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第四条第三款</w:t>
            </w:r>
            <w:r>
              <w:rPr>
                <w:rFonts w:ascii="Times New Roman" w:hAnsi="Times New Roman" w:eastAsia="仿宋_GB2312"/>
                <w:b/>
                <w:color w:val="000000"/>
                <w:sz w:val="24"/>
              </w:rPr>
              <w:t xml:space="preserve"> </w:t>
            </w:r>
            <w:r>
              <w:rPr>
                <w:rFonts w:ascii="Times New Roman" w:hAnsi="Times New Roman" w:eastAsia="仿宋_GB2312"/>
                <w:color w:val="000000"/>
                <w:sz w:val="24"/>
              </w:rPr>
              <w:t xml:space="preserve"> 乡（镇）人民政府和街道办事处按照法律、法规、规章等有关规定做好源头治超工作。</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5"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对本辖区禁止野外用火的监督管理</w:t>
            </w:r>
          </w:p>
        </w:tc>
        <w:tc>
          <w:tcPr>
            <w:tcW w:w="7922"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【地方性法规】《山西省人民代表大会常务委员会关于禁止野外用火的决定》（2020年5月施行）</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六、乡（镇）人民政府、街道办事处应当加强本辖区禁止野外用火的监督管理，组织开展森林草原防火知识培训和火灾扑救演练，指导村（居）民委员会开展群众性防火工作。 </w:t>
            </w:r>
          </w:p>
          <w:p>
            <w:pPr>
              <w:topLinePunct/>
              <w:autoSpaceDN w:val="0"/>
              <w:spacing w:line="28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七、县（市、区）、乡（镇）人民政府应当依法在重要路口设立防火检查站，在重点地段、重点区域设置巡山、护林专业队，做好巡查巡护。</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8"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pacing w:val="8"/>
                <w:sz w:val="24"/>
              </w:rPr>
            </w:pPr>
            <w:r>
              <w:rPr>
                <w:rFonts w:ascii="Times New Roman" w:hAnsi="Times New Roman" w:eastAsia="仿宋_GB2312"/>
                <w:color w:val="000000"/>
                <w:spacing w:val="8"/>
                <w:sz w:val="24"/>
              </w:rPr>
              <w:t>对地质灾害险情的检查</w:t>
            </w:r>
          </w:p>
        </w:tc>
        <w:tc>
          <w:tcPr>
            <w:tcW w:w="7922" w:type="dxa"/>
            <w:noWrap w:val="0"/>
            <w:vAlign w:val="center"/>
          </w:tcPr>
          <w:p>
            <w:pPr>
              <w:topLinePunct/>
              <w:autoSpaceDN w:val="0"/>
              <w:spacing w:line="32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【行政法规】《地质灾害防治条例》（2003年国务院令第394号）</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第十五条第一款  地质灾害易发区的县、乡、村应当加强地质灾害的群测群防工作。在地质灾害重点防范期内，乡镇人民政府、基层群众自治组织应当加强地质灾害险情的巡回检查，发现险情及时处理和报告。</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7"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对消防安全的检查</w:t>
            </w:r>
          </w:p>
        </w:tc>
        <w:tc>
          <w:tcPr>
            <w:tcW w:w="7922" w:type="dxa"/>
            <w:noWrap w:val="0"/>
            <w:vAlign w:val="center"/>
          </w:tcPr>
          <w:p>
            <w:pPr>
              <w:topLinePunct/>
              <w:autoSpaceDN w:val="0"/>
              <w:spacing w:line="32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【法律】《中华人民共和国消防法》（2021年修正）</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第三十一条　在农业收获季节、森林和草原防火期间、重大节假日期间以及火灾多发季节，地方各级人民政府应当组织开展有针对性的消防宣传教育，采取防火措施，进行消防安全检查。</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topLinePunct/>
              <w:autoSpaceDN w:val="0"/>
              <w:spacing w:line="32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【政</w:t>
            </w:r>
            <w:r>
              <w:rPr>
                <w:rFonts w:ascii="Times New Roman" w:hAnsi="Times New Roman" w:eastAsia="仿宋_GB2312"/>
                <w:color w:val="000000"/>
                <w:spacing w:val="-4"/>
                <w:sz w:val="24"/>
              </w:rPr>
              <w:t>府规章】《山西省消防安全责任制实施办法》（2020年省政府令第26</w:t>
            </w:r>
            <w:r>
              <w:rPr>
                <w:rFonts w:ascii="Times New Roman" w:hAnsi="Times New Roman" w:eastAsia="仿宋_GB2312"/>
                <w:color w:val="000000"/>
                <w:sz w:val="24"/>
              </w:rPr>
              <w:t>7号）</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第八条  乡（镇）人民政府履行下列消防安全工作职责：</w:t>
            </w:r>
          </w:p>
          <w:p>
            <w:pPr>
              <w:topLinePunct/>
              <w:autoSpaceDN w:val="0"/>
              <w:spacing w:line="320" w:lineRule="exact"/>
              <w:ind w:firstLine="480" w:firstLineChars="200"/>
              <w:textAlignment w:val="center"/>
              <w:rPr>
                <w:rFonts w:ascii="Times New Roman" w:hAnsi="Times New Roman" w:eastAsia="仿宋_GB2312"/>
                <w:color w:val="000000"/>
                <w:spacing w:val="-6"/>
                <w:sz w:val="24"/>
              </w:rPr>
            </w:pPr>
            <w:r>
              <w:rPr>
                <w:rFonts w:ascii="Times New Roman" w:hAnsi="Times New Roman" w:eastAsia="仿宋_GB2312"/>
                <w:color w:val="000000"/>
                <w:sz w:val="24"/>
              </w:rPr>
              <w:t>（三）</w:t>
            </w:r>
            <w:r>
              <w:rPr>
                <w:rFonts w:ascii="Times New Roman" w:hAnsi="Times New Roman" w:eastAsia="仿宋_GB2312"/>
                <w:color w:val="000000"/>
                <w:spacing w:val="-6"/>
                <w:sz w:val="24"/>
              </w:rPr>
              <w:t>根据当地经济发展和消防工作的需要，建立承担火灾扑救、应急救援等职能的专职消防队、志愿消防队，开展消防宣传、防火巡查、隐患查改；</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街道办事处应当履行除前款第（一）项规定以外的职责。</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4" w:hRule="atLeast"/>
          <w:jc w:val="center"/>
        </w:trPr>
        <w:tc>
          <w:tcPr>
            <w:tcW w:w="614"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1078"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行政检查</w:t>
            </w:r>
          </w:p>
        </w:tc>
        <w:tc>
          <w:tcPr>
            <w:tcW w:w="2380" w:type="dxa"/>
            <w:noWrap w:val="0"/>
            <w:vAlign w:val="center"/>
          </w:tcPr>
          <w:p>
            <w:pPr>
              <w:topLinePunct/>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指导、监督、检查宗教活动场所</w:t>
            </w:r>
          </w:p>
        </w:tc>
        <w:tc>
          <w:tcPr>
            <w:tcW w:w="7922" w:type="dxa"/>
            <w:noWrap w:val="0"/>
            <w:vAlign w:val="center"/>
          </w:tcPr>
          <w:p>
            <w:pPr>
              <w:topLinePunct/>
              <w:autoSpaceDN w:val="0"/>
              <w:spacing w:line="32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【行政法规】《宗教事务条例》（2004年国务院令第426号，2017年修订）</w:t>
            </w:r>
          </w:p>
          <w:p>
            <w:pPr>
              <w:topLinePunct/>
              <w:autoSpaceDN w:val="0"/>
              <w:spacing w:line="32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第二十六条　宗教活动场所应当加强内部管理，依照有关法律、法规、规章的规定，建立健全人员、财务、资产、会计、治安、消防、文物保护、卫生防疫等管理制度，接受当地人民政府有关部门的指导、监督、检查。</w:t>
            </w:r>
          </w:p>
        </w:tc>
        <w:tc>
          <w:tcPr>
            <w:tcW w:w="1106" w:type="dxa"/>
            <w:noWrap w:val="0"/>
            <w:vAlign w:val="center"/>
          </w:tcPr>
          <w:p>
            <w:pPr>
              <w:topLinePunct/>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topLinePunct/>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0"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行政处罚</w:t>
            </w:r>
          </w:p>
        </w:tc>
        <w:tc>
          <w:tcPr>
            <w:tcW w:w="2380" w:type="dxa"/>
            <w:noWrap w:val="0"/>
            <w:vAlign w:val="center"/>
          </w:tcPr>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对农村居民未经批准或者违反规划的规定建住宅的行政处罚</w:t>
            </w:r>
          </w:p>
        </w:tc>
        <w:tc>
          <w:tcPr>
            <w:tcW w:w="7922"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【行政法规】《村庄和集镇规划建设管理条例》（1993年国务院令第116号）</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第三十七条第一款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第三十七条第二款</w:t>
            </w:r>
            <w:r>
              <w:rPr>
                <w:rFonts w:ascii="Times New Roman" w:hAnsi="Times New Roman" w:eastAsia="仿宋_GB2312"/>
                <w:b/>
                <w:color w:val="000000"/>
                <w:sz w:val="24"/>
              </w:rPr>
              <w:t xml:space="preserve"> </w:t>
            </w:r>
            <w:r>
              <w:rPr>
                <w:rFonts w:ascii="Times New Roman" w:hAnsi="Times New Roman" w:eastAsia="仿宋_GB2312"/>
                <w:color w:val="000000"/>
                <w:sz w:val="24"/>
              </w:rPr>
              <w:t xml:space="preserve"> 农村居民未经批准或者违反规划的规定建住宅的，乡级人民政府可以依照前款规定处罚。</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614"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1078"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行政处罚</w:t>
            </w:r>
          </w:p>
        </w:tc>
        <w:tc>
          <w:tcPr>
            <w:tcW w:w="2380"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对损坏村庄和集镇的房屋、公共设施或乱堆粪便、垃圾、柴草，破坏村容镇貌和环境卫生的行政处罚</w:t>
            </w:r>
          </w:p>
        </w:tc>
        <w:tc>
          <w:tcPr>
            <w:tcW w:w="7922"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【行政法规】《村庄和集镇规划建设管理条例》（1993年国务院令第116号）</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第三十九条  有下列行为之一的，由乡级人民政府责令停止侵害，可以处以罚款；造成损失的，并应当赔偿：（一）损坏村庄和集镇的房屋、公共设施的；（二）乱堆粪便、垃圾、柴草，破坏村容镇貌和环境卫生的。</w:t>
            </w:r>
          </w:p>
        </w:tc>
        <w:tc>
          <w:tcPr>
            <w:tcW w:w="1106"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614"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1078"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行政处罚</w:t>
            </w:r>
          </w:p>
        </w:tc>
        <w:tc>
          <w:tcPr>
            <w:tcW w:w="2380" w:type="dxa"/>
            <w:noWrap w:val="0"/>
            <w:vAlign w:val="center"/>
          </w:tcPr>
          <w:p>
            <w:pPr>
              <w:autoSpaceDN w:val="0"/>
              <w:spacing w:line="280" w:lineRule="exact"/>
              <w:textAlignment w:val="center"/>
              <w:rPr>
                <w:rFonts w:ascii="Times New Roman" w:hAnsi="Times New Roman" w:eastAsia="仿宋_GB2312"/>
                <w:color w:val="000000"/>
                <w:spacing w:val="6"/>
                <w:sz w:val="24"/>
              </w:rPr>
            </w:pPr>
            <w:r>
              <w:rPr>
                <w:rFonts w:ascii="Times New Roman" w:hAnsi="Times New Roman" w:eastAsia="仿宋_GB2312"/>
                <w:color w:val="000000"/>
                <w:spacing w:val="6"/>
                <w:sz w:val="24"/>
              </w:rPr>
              <w:t>对单位和个人损坏或者擅自移动有钉螺地带警示标志的行政处罚</w:t>
            </w:r>
          </w:p>
        </w:tc>
        <w:tc>
          <w:tcPr>
            <w:tcW w:w="7922" w:type="dxa"/>
            <w:noWrap w:val="0"/>
            <w:vAlign w:val="center"/>
          </w:tcPr>
          <w:p>
            <w:pPr>
              <w:autoSpaceDN w:val="0"/>
              <w:spacing w:line="260" w:lineRule="exact"/>
              <w:textAlignment w:val="center"/>
              <w:rPr>
                <w:rFonts w:ascii="Times New Roman" w:hAnsi="Times New Roman" w:eastAsia="仿宋_GB2312"/>
                <w:color w:val="000000"/>
                <w:spacing w:val="-4"/>
                <w:sz w:val="24"/>
              </w:rPr>
            </w:pPr>
            <w:r>
              <w:rPr>
                <w:rFonts w:ascii="Times New Roman" w:hAnsi="Times New Roman" w:eastAsia="仿宋_GB2312"/>
                <w:color w:val="000000"/>
                <w:sz w:val="24"/>
              </w:rPr>
              <w:t>【</w:t>
            </w:r>
            <w:r>
              <w:rPr>
                <w:rFonts w:ascii="Times New Roman" w:hAnsi="Times New Roman" w:eastAsia="仿宋_GB2312"/>
                <w:color w:val="000000"/>
                <w:spacing w:val="-4"/>
                <w:sz w:val="24"/>
              </w:rPr>
              <w:t>行政法规】《血吸虫病防治条例》（2006年国务院令第463号，2019年修订）</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106"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4" w:hRule="atLeast"/>
          <w:jc w:val="center"/>
        </w:trPr>
        <w:tc>
          <w:tcPr>
            <w:tcW w:w="614"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w:t>
            </w:r>
          </w:p>
        </w:tc>
        <w:tc>
          <w:tcPr>
            <w:tcW w:w="1078"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行政处罚</w:t>
            </w:r>
          </w:p>
        </w:tc>
        <w:tc>
          <w:tcPr>
            <w:tcW w:w="2380" w:type="dxa"/>
            <w:noWrap w:val="0"/>
            <w:vAlign w:val="center"/>
          </w:tcPr>
          <w:p>
            <w:pPr>
              <w:autoSpaceDN w:val="0"/>
              <w:textAlignment w:val="center"/>
              <w:rPr>
                <w:rFonts w:ascii="Times New Roman" w:hAnsi="Times New Roman" w:eastAsia="仿宋_GB2312"/>
                <w:color w:val="000000"/>
                <w:spacing w:val="6"/>
                <w:sz w:val="24"/>
              </w:rPr>
            </w:pPr>
            <w:r>
              <w:rPr>
                <w:rFonts w:ascii="Times New Roman" w:hAnsi="Times New Roman" w:eastAsia="仿宋_GB2312"/>
                <w:color w:val="000000"/>
                <w:spacing w:val="6"/>
                <w:sz w:val="24"/>
              </w:rPr>
              <w:t>对未经批准损坏村道及村道设施的行政处罚</w:t>
            </w:r>
          </w:p>
        </w:tc>
        <w:tc>
          <w:tcPr>
            <w:tcW w:w="7922"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【地方性法规】《山西省公路条例》（2013年1月施行）</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第五十六条第一款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p>
          <w:p>
            <w:pPr>
              <w:autoSpaceDN w:val="0"/>
              <w:spacing w:line="260" w:lineRule="exact"/>
              <w:ind w:firstLine="480" w:firstLineChars="200"/>
              <w:textAlignment w:val="center"/>
              <w:rPr>
                <w:rFonts w:ascii="Times New Roman" w:hAnsi="Times New Roman" w:eastAsia="仿宋_GB2312"/>
                <w:color w:val="000000"/>
                <w:sz w:val="24"/>
              </w:rPr>
            </w:pPr>
            <w:r>
              <w:rPr>
                <w:rFonts w:ascii="Times New Roman" w:hAnsi="Times New Roman" w:eastAsia="仿宋_GB2312"/>
                <w:color w:val="000000"/>
                <w:sz w:val="24"/>
              </w:rPr>
              <w:t>第六十五条</w:t>
            </w:r>
            <w:r>
              <w:rPr>
                <w:rFonts w:ascii="Times New Roman" w:hAnsi="Times New Roman" w:eastAsia="仿宋_GB2312"/>
                <w:b/>
                <w:color w:val="000000"/>
                <w:sz w:val="24"/>
              </w:rPr>
              <w:t xml:space="preserve">  </w:t>
            </w:r>
            <w:r>
              <w:rPr>
                <w:rFonts w:ascii="Times New Roman" w:hAnsi="Times New Roman" w:eastAsia="仿宋_GB2312"/>
                <w:color w:val="000000"/>
                <w:sz w:val="24"/>
              </w:rPr>
              <w:t>违反本条例第五十六条第一款规定的，由乡（镇）人民政府责令限期改正；逾期未改正的，处以二百元以上一千元以下罚款。</w:t>
            </w:r>
          </w:p>
        </w:tc>
        <w:tc>
          <w:tcPr>
            <w:tcW w:w="1106"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8" w:hRule="atLeast"/>
          <w:jc w:val="center"/>
        </w:trPr>
        <w:tc>
          <w:tcPr>
            <w:tcW w:w="614"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1078"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对在乡、村庄规划区内未依法取得乡村建设规划许可证或者未按照乡村建设规划许可证的规定进行建设的，逾期不改正的强制拆除</w:t>
            </w:r>
          </w:p>
        </w:tc>
        <w:tc>
          <w:tcPr>
            <w:tcW w:w="7922" w:type="dxa"/>
            <w:noWrap w:val="0"/>
            <w:vAlign w:val="center"/>
          </w:tcPr>
          <w:p>
            <w:pPr>
              <w:autoSpaceDN w:val="0"/>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【法律】《中华人民共和国城乡规划法》（2019年修正）</w:t>
            </w:r>
          </w:p>
          <w:p>
            <w:pPr>
              <w:autoSpaceDN w:val="0"/>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第六十五条  在乡、村庄规划区内未依法取得乡村建设规划许可证或者未按照乡村建设规划许可证的规定进行建设的，由乡、镇人民政府责令停止建设、限期改正；逾期不改正的，可以拆除。</w:t>
            </w:r>
          </w:p>
        </w:tc>
        <w:tc>
          <w:tcPr>
            <w:tcW w:w="1106" w:type="dxa"/>
            <w:noWrap w:val="0"/>
            <w:vAlign w:val="center"/>
          </w:tcPr>
          <w:p>
            <w:pPr>
              <w:autoSpaceDN w:val="0"/>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1"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对在依法划定的电力设施保护区内修建的建筑物、构筑物或者种植的植物、堆放物品危及电力设施安全的强制拆除、砍伐或者清除</w:t>
            </w:r>
          </w:p>
        </w:tc>
        <w:tc>
          <w:tcPr>
            <w:tcW w:w="7922" w:type="dxa"/>
            <w:noWrap w:val="0"/>
            <w:vAlign w:val="center"/>
          </w:tcPr>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【法律】《中华人民共和国电力法》 （2018年修正）</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第五十三条  电力管理部门应当按照国务院有关电力设施保护的规定，对电力设施保护区设立标志。</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任何单位和个人不得在依法划定的电力设施保护区内修建可能危及电力设施安全的建筑物、构筑物，不得种植可能危及电力设施安全的植物，不得堆放可能危及电力设施安全的物品。</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在依法划定电力设施保护区前已经种植的植物妨碍电力设施安全的，应当修剪或者砍伐。</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ascii="Times New Roman" w:hAnsi="Times New Roman" w:eastAsia="仿宋_GB2312"/>
                <w:b/>
                <w:color w:val="000000"/>
                <w:sz w:val="24"/>
              </w:rPr>
              <w:t xml:space="preserve"> </w:t>
            </w:r>
            <w:r>
              <w:rPr>
                <w:rFonts w:ascii="Times New Roman" w:hAnsi="Times New Roman" w:eastAsia="仿宋_GB2312"/>
                <w:color w:val="000000"/>
                <w:sz w:val="24"/>
              </w:rPr>
              <w:t>第六十九条  违反本法第五十三条规定，在依法划定的电力设施保护区内修建建筑物、构筑物或者种植植物、堆放物品，危及电力设施安全的，由当地人民政府责令强制拆除、砍伐或者清除。</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80"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对非法种植毒品原植物的制止、铲除</w:t>
            </w:r>
          </w:p>
        </w:tc>
        <w:tc>
          <w:tcPr>
            <w:tcW w:w="7922" w:type="dxa"/>
            <w:noWrap w:val="0"/>
            <w:vAlign w:val="center"/>
          </w:tcPr>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【法律】《中华人民共和国禁毒法》（2008年6月施行）</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第十九条第二款  地方各级人民政府发现非法种植毒品原植物的，应当立即采取措施予以制止、铲除。</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【地方性法规】《山西省禁毒条例》（2020年修订）   </w:t>
            </w:r>
          </w:p>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1"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8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对防汛遇到阻拦和拖延时的强制实施</w:t>
            </w:r>
          </w:p>
        </w:tc>
        <w:tc>
          <w:tcPr>
            <w:tcW w:w="7922" w:type="dxa"/>
            <w:noWrap w:val="0"/>
            <w:vAlign w:val="center"/>
          </w:tcPr>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【行政法规】《中华人民共和国防汛条例》（2011年修订）</w:t>
            </w:r>
          </w:p>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第三十三条第二款  在非常情况下，为保护国家确定的重点地区和大局安全，必须作出局部牺牲时，在报经有管辖权的上级人民政府防汛指挥部批准后，当地人民政府防汛指挥部可以采取非常紧急措施。</w:t>
            </w:r>
          </w:p>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第三十三条第三款  实施上述措施时，任何单位和个人不得阻拦，如遇到阻拦和拖延时，有管辖权的人民政府有权组织强制实施。</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8"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18</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80" w:lineRule="exact"/>
              <w:jc w:val="left"/>
              <w:textAlignment w:val="center"/>
              <w:rPr>
                <w:rFonts w:ascii="Times New Roman" w:hAnsi="Times New Roman" w:eastAsia="仿宋_GB2312"/>
                <w:color w:val="000000"/>
                <w:sz w:val="24"/>
              </w:rPr>
            </w:pPr>
            <w:r>
              <w:rPr>
                <w:rFonts w:ascii="Times New Roman" w:hAnsi="Times New Roman" w:eastAsia="仿宋_GB2312"/>
                <w:color w:val="000000"/>
                <w:sz w:val="24"/>
              </w:rPr>
              <w:t>对受到地质灾害威胁情况紧急时的强行避灾疏散</w:t>
            </w:r>
          </w:p>
        </w:tc>
        <w:tc>
          <w:tcPr>
            <w:tcW w:w="7922" w:type="dxa"/>
            <w:noWrap w:val="0"/>
            <w:vAlign w:val="center"/>
          </w:tcPr>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【行政法规】《地质灾害防治条例》（2003年国务院令第394号） </w:t>
            </w:r>
          </w:p>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第二十九条  接到地质灾害险情报告的当地人民政府、基层群众自治组织应当根据实际情况，及时动员受到地质灾害威胁的居民以及其他人员转移到安全地带；情况紧急时，可以强行组织避灾疏散。</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4" w:hRule="atLeast"/>
          <w:jc w:val="center"/>
        </w:trPr>
        <w:tc>
          <w:tcPr>
            <w:tcW w:w="614"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19</w:t>
            </w:r>
          </w:p>
        </w:tc>
        <w:tc>
          <w:tcPr>
            <w:tcW w:w="1078"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行政强制</w:t>
            </w:r>
          </w:p>
        </w:tc>
        <w:tc>
          <w:tcPr>
            <w:tcW w:w="2380" w:type="dxa"/>
            <w:noWrap w:val="0"/>
            <w:vAlign w:val="center"/>
          </w:tcPr>
          <w:p>
            <w:pPr>
              <w:autoSpaceDN w:val="0"/>
              <w:spacing w:line="280" w:lineRule="exact"/>
              <w:jc w:val="left"/>
              <w:textAlignment w:val="center"/>
              <w:rPr>
                <w:rFonts w:ascii="Times New Roman" w:hAnsi="Times New Roman" w:eastAsia="仿宋_GB2312"/>
                <w:color w:val="000000"/>
                <w:sz w:val="24"/>
              </w:rPr>
            </w:pPr>
            <w:r>
              <w:rPr>
                <w:rFonts w:ascii="Times New Roman" w:hAnsi="Times New Roman" w:eastAsia="仿宋_GB2312"/>
                <w:color w:val="000000"/>
                <w:sz w:val="24"/>
              </w:rPr>
              <w:t>组织饲养动物的单位和个人做好强制免疫</w:t>
            </w:r>
          </w:p>
        </w:tc>
        <w:tc>
          <w:tcPr>
            <w:tcW w:w="7922" w:type="dxa"/>
            <w:noWrap w:val="0"/>
            <w:vAlign w:val="center"/>
          </w:tcPr>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【法律】《中华人民共和国动物防疫法》（2021年修订）</w:t>
            </w:r>
          </w:p>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ascii="Times New Roman" w:hAnsi="Times New Roman" w:eastAsia="仿宋_GB2312"/>
                <w:b/>
                <w:color w:val="000000"/>
                <w:sz w:val="24"/>
              </w:rPr>
              <w:t xml:space="preserve"> </w:t>
            </w:r>
            <w:r>
              <w:rPr>
                <w:rFonts w:ascii="Times New Roman" w:hAnsi="Times New Roman" w:eastAsia="仿宋_GB2312"/>
                <w:color w:val="000000"/>
                <w:sz w:val="24"/>
              </w:rPr>
              <w:t>第八条第二款</w:t>
            </w:r>
            <w:r>
              <w:rPr>
                <w:rFonts w:ascii="Times New Roman" w:hAnsi="Times New Roman" w:eastAsia="仿宋_GB2312"/>
                <w:b/>
                <w:color w:val="000000"/>
                <w:sz w:val="24"/>
              </w:rPr>
              <w:t xml:space="preserve">  </w:t>
            </w:r>
            <w:r>
              <w:rPr>
                <w:rFonts w:ascii="Times New Roman" w:hAnsi="Times New Roman" w:eastAsia="仿宋_GB2312"/>
                <w:color w:val="000000"/>
                <w:sz w:val="24"/>
              </w:rPr>
              <w:t>乡级人民政府、街道办事处组织群众做好本辖区的动物疫病预防与控制工作，村民委员会、居民委员会予以协助。</w:t>
            </w:r>
          </w:p>
          <w:p>
            <w:pPr>
              <w:autoSpaceDN w:val="0"/>
              <w:spacing w:line="360" w:lineRule="exact"/>
              <w:textAlignment w:val="center"/>
              <w:rPr>
                <w:rFonts w:ascii="Times New Roman" w:hAnsi="Times New Roman" w:eastAsia="仿宋_GB2312"/>
                <w:color w:val="000000"/>
                <w:sz w:val="24"/>
              </w:rPr>
            </w:pPr>
            <w:r>
              <w:rPr>
                <w:rFonts w:ascii="Times New Roman" w:hAnsi="Times New Roman" w:eastAsia="仿宋_GB2312"/>
                <w:b/>
                <w:color w:val="000000"/>
                <w:sz w:val="24"/>
              </w:rPr>
              <w:t xml:space="preserve">    </w:t>
            </w:r>
            <w:r>
              <w:rPr>
                <w:rFonts w:ascii="Times New Roman" w:hAnsi="Times New Roman" w:eastAsia="仿宋_GB2312"/>
                <w:color w:val="000000"/>
                <w:sz w:val="24"/>
              </w:rPr>
              <w:t>第十八条第二款</w:t>
            </w:r>
            <w:r>
              <w:rPr>
                <w:rFonts w:ascii="Times New Roman" w:hAnsi="Times New Roman" w:eastAsia="仿宋_GB2312"/>
                <w:b/>
                <w:color w:val="000000"/>
                <w:sz w:val="24"/>
              </w:rPr>
              <w:t xml:space="preserve">  </w:t>
            </w:r>
            <w:r>
              <w:rPr>
                <w:rFonts w:ascii="Times New Roman" w:hAnsi="Times New Roman" w:eastAsia="仿宋_GB2312"/>
                <w:color w:val="000000"/>
                <w:sz w:val="24"/>
              </w:rPr>
              <w:t>乡级人民政府、街道办事处组织本辖区饲养动物的单位和个人做好强制免疫，协助做好监督检查；村民委员会、居民委员会协助做好相关工作。</w:t>
            </w:r>
          </w:p>
        </w:tc>
        <w:tc>
          <w:tcPr>
            <w:tcW w:w="1106" w:type="dxa"/>
            <w:noWrap w:val="0"/>
            <w:vAlign w:val="center"/>
          </w:tcPr>
          <w:p>
            <w:pPr>
              <w:autoSpaceDN w:val="0"/>
              <w:spacing w:line="280" w:lineRule="exact"/>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乡镇政府</w:t>
            </w:r>
          </w:p>
        </w:tc>
        <w:tc>
          <w:tcPr>
            <w:tcW w:w="700" w:type="dxa"/>
            <w:noWrap w:val="0"/>
            <w:vAlign w:val="top"/>
          </w:tcPr>
          <w:p>
            <w:pPr>
              <w:spacing w:line="600" w:lineRule="exact"/>
              <w:jc w:val="center"/>
              <w:rPr>
                <w:rFonts w:ascii="Times New Roman" w:hAnsi="Times New Roman" w:eastAsia="仿宋_GB2312"/>
                <w:color w:val="000000"/>
                <w:sz w:val="24"/>
              </w:rPr>
            </w:pPr>
          </w:p>
        </w:tc>
      </w:tr>
    </w:tbl>
    <w:p>
      <w:pPr>
        <w:pStyle w:val="8"/>
        <w:widowControl w:val="0"/>
        <w:topLinePunct/>
        <w:spacing w:after="156" w:afterLines="50" w:line="380" w:lineRule="exact"/>
        <w:rPr>
          <w:rFonts w:hAnsi="黑体" w:eastAsia="黑体"/>
        </w:rPr>
        <w:sectPr>
          <w:headerReference r:id="rId3" w:type="default"/>
          <w:footerReference r:id="rId5" w:type="default"/>
          <w:headerReference r:id="rId4" w:type="even"/>
          <w:footerReference r:id="rId6" w:type="even"/>
          <w:pgSz w:w="16838" w:h="11906" w:orient="landscape"/>
          <w:pgMar w:top="1814" w:right="1531" w:bottom="1644" w:left="1531" w:header="851" w:footer="1418" w:gutter="0"/>
          <w:cols w:space="425" w:num="1"/>
          <w:docGrid w:type="lines" w:linePitch="312" w:charSpace="0"/>
        </w:sectPr>
      </w:pPr>
    </w:p>
    <w:p>
      <w:pPr>
        <w:pStyle w:val="8"/>
        <w:widowControl w:val="0"/>
        <w:topLinePunct/>
        <w:spacing w:after="156" w:afterLines="50" w:line="380" w:lineRule="exact"/>
        <w:rPr>
          <w:rFonts w:eastAsia="黑体"/>
        </w:rPr>
      </w:pPr>
      <w:r>
        <w:rPr>
          <w:rFonts w:hAnsi="黑体" w:eastAsia="黑体"/>
        </w:rPr>
        <w:t>附件</w:t>
      </w:r>
      <w:r>
        <w:rPr>
          <w:rFonts w:eastAsia="黑体"/>
        </w:rPr>
        <w:t>2</w:t>
      </w:r>
    </w:p>
    <w:p>
      <w:pPr>
        <w:spacing w:after="156" w:afterLines="50" w:line="500" w:lineRule="exact"/>
        <w:jc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万荣县乡（镇）赋权行政执法事项清单</w:t>
      </w:r>
    </w:p>
    <w:tbl>
      <w:tblPr>
        <w:tblStyle w:val="5"/>
        <w:tblW w:w="13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2408"/>
        <w:gridCol w:w="672"/>
        <w:gridCol w:w="6957"/>
        <w:gridCol w:w="1203"/>
        <w:gridCol w:w="111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atLeast"/>
          <w:tblHeader/>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序号</w:t>
            </w:r>
          </w:p>
        </w:tc>
        <w:tc>
          <w:tcPr>
            <w:tcW w:w="240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职权名称</w:t>
            </w:r>
          </w:p>
        </w:tc>
        <w:tc>
          <w:tcPr>
            <w:tcW w:w="672" w:type="dxa"/>
            <w:noWrap w:val="0"/>
            <w:tcMar>
              <w:top w:w="28" w:type="dxa"/>
              <w:bottom w:w="28" w:type="dxa"/>
            </w:tcMar>
            <w:vAlign w:val="center"/>
          </w:tcPr>
          <w:p>
            <w:pPr>
              <w:topLinePunct/>
              <w:adjustRightInd w:val="0"/>
              <w:snapToGrid w:val="0"/>
              <w:jc w:val="center"/>
              <w:rPr>
                <w:rFonts w:hint="eastAsia" w:ascii="Times New Roman" w:hAnsi="Times New Roman" w:eastAsia="仿宋_GB2312"/>
                <w:sz w:val="24"/>
              </w:rPr>
            </w:pPr>
            <w:r>
              <w:rPr>
                <w:rFonts w:ascii="Times New Roman" w:hAnsi="Times New Roman" w:eastAsia="仿宋_GB2312"/>
                <w:sz w:val="24"/>
              </w:rPr>
              <w:t>职权</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类型</w:t>
            </w:r>
          </w:p>
        </w:tc>
        <w:tc>
          <w:tcPr>
            <w:tcW w:w="6957"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pacing w:val="100"/>
                <w:sz w:val="24"/>
              </w:rPr>
              <w:t>职权依</w:t>
            </w:r>
            <w:r>
              <w:rPr>
                <w:rFonts w:ascii="Times New Roman" w:hAnsi="Times New Roman" w:eastAsia="仿宋_GB2312"/>
                <w:sz w:val="24"/>
              </w:rPr>
              <w:t>据</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主管部门</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执法主体</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8"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对损毁永久性测量标志或使其失去使用效能的行为的处罚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行政处罚</w:t>
            </w:r>
          </w:p>
        </w:tc>
        <w:tc>
          <w:tcPr>
            <w:tcW w:w="6957" w:type="dxa"/>
            <w:noWrap w:val="0"/>
            <w:tcMar>
              <w:top w:w="28" w:type="dxa"/>
              <w:bottom w:w="28" w:type="dxa"/>
            </w:tcMar>
            <w:vAlign w:val="center"/>
          </w:tcPr>
          <w:p>
            <w:pPr>
              <w:topLinePunct/>
              <w:adjustRightInd w:val="0"/>
              <w:snapToGrid w:val="0"/>
              <w:spacing w:line="240" w:lineRule="exact"/>
              <w:ind w:firstLine="420" w:firstLineChars="200"/>
              <w:rPr>
                <w:rFonts w:ascii="Times New Roman" w:hAnsi="Times New Roman" w:eastAsia="仿宋_GB2312"/>
                <w:szCs w:val="21"/>
              </w:rPr>
            </w:pPr>
            <w:r>
              <w:rPr>
                <w:rFonts w:ascii="Times New Roman" w:hAnsi="Times New Roman" w:eastAsia="仿宋_GB2312"/>
                <w:szCs w:val="21"/>
              </w:rPr>
              <w:t>《</w:t>
            </w:r>
            <w:r>
              <w:rPr>
                <w:rFonts w:ascii="Times New Roman" w:hAnsi="Times New Roman" w:eastAsia="仿宋_GB2312"/>
                <w:spacing w:val="2"/>
                <w:szCs w:val="21"/>
              </w:rPr>
              <w:t>中华人民共和国测绘法》第六十四条第一款第一项、第四项  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四）擅自拆迁永久性测量标志或者使</w:t>
            </w:r>
            <w:r>
              <w:rPr>
                <w:rFonts w:ascii="Times New Roman" w:hAnsi="Times New Roman" w:eastAsia="仿宋_GB2312"/>
                <w:szCs w:val="21"/>
              </w:rPr>
              <w:t>永久性测量标志失去使用效能，或者拒绝支付迁建费用。</w:t>
            </w:r>
          </w:p>
          <w:p>
            <w:pPr>
              <w:topLinePunct/>
              <w:adjustRightInd w:val="0"/>
              <w:snapToGrid w:val="0"/>
              <w:spacing w:line="240" w:lineRule="exact"/>
              <w:ind w:firstLine="420" w:firstLineChars="200"/>
              <w:rPr>
                <w:rFonts w:ascii="Times New Roman" w:hAnsi="Times New Roman" w:eastAsia="仿宋_GB2312"/>
                <w:szCs w:val="21"/>
              </w:rPr>
            </w:pPr>
            <w:r>
              <w:rPr>
                <w:rFonts w:ascii="Times New Roman" w:hAnsi="Times New Roman" w:eastAsia="仿宋_GB2312"/>
                <w:szCs w:val="21"/>
              </w:rPr>
              <w:t>《中华人民共和国测量标志保护条例》（国务院令第203号）第二十二条第一款第一项  测量标志受国家保护，禁止下列有损测量标志安全和使用测量标志失去使用效能的行为：（一）损毁或者擅自移动地下或者地上的永久性测量标志以及使用中的临时性测量标志的。</w:t>
            </w:r>
          </w:p>
          <w:p>
            <w:pPr>
              <w:topLinePunct/>
              <w:adjustRightInd w:val="0"/>
              <w:snapToGrid w:val="0"/>
              <w:spacing w:line="240" w:lineRule="exact"/>
              <w:ind w:firstLine="420" w:firstLineChars="200"/>
              <w:rPr>
                <w:rFonts w:ascii="Times New Roman" w:hAnsi="Times New Roman" w:eastAsia="仿宋_GB2312"/>
                <w:szCs w:val="21"/>
              </w:rPr>
            </w:pPr>
            <w:r>
              <w:rPr>
                <w:rFonts w:ascii="Times New Roman" w:hAnsi="Times New Roman" w:eastAsia="仿宋_GB2312"/>
                <w:szCs w:val="21"/>
              </w:rPr>
              <w:t>第二十三条第一款第二项、第三项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二）工程建设单位未经批准擅自拆迁永久性测量标志或者使永久性测量标志失去使用效能的，或者拒绝按照国家有关规定支付迁建费用的；（三）违反测绘操作规程进行测绘，使永久性测量标志受到损坏的。</w:t>
            </w:r>
          </w:p>
          <w:p>
            <w:pPr>
              <w:topLinePunct/>
              <w:adjustRightInd w:val="0"/>
              <w:snapToGrid w:val="0"/>
              <w:spacing w:line="240" w:lineRule="exact"/>
              <w:ind w:firstLine="420" w:firstLineChars="200"/>
              <w:rPr>
                <w:rFonts w:ascii="Times New Roman" w:hAnsi="Times New Roman" w:eastAsia="仿宋_GB2312"/>
                <w:sz w:val="24"/>
              </w:rPr>
            </w:pPr>
            <w:r>
              <w:rPr>
                <w:rFonts w:ascii="Times New Roman" w:hAnsi="Times New Roman" w:eastAsia="仿宋_GB2312"/>
                <w:szCs w:val="21"/>
              </w:rPr>
              <w:t>《山西省测量标志管理规定》（山西省人民政府令第140号）第三十一条第一款第三项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三）损毁永久性测量标志，使永久性测量标志失去使用效能的，处50000元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自然资源局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对占用耕地建窑、建坟或者擅自在耕地上建房、挖砂、采石、采矿、取土等破坏种植条件的行为的处罚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自然资源局</w:t>
            </w:r>
          </w:p>
          <w:p>
            <w:pPr>
              <w:topLinePunct/>
              <w:adjustRightInd w:val="0"/>
              <w:snapToGrid w:val="0"/>
              <w:jc w:val="center"/>
              <w:rPr>
                <w:rFonts w:ascii="Times New Roman" w:hAnsi="Times New Roman" w:eastAsia="仿宋_GB2312"/>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0"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对畜禽养殖废弃物未进行综合利用和无害化处理的行为的处罚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《畜禽规模养殖污染防治条例》（国务院令第643号）第三十九条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对露天焚烧秸秆、落叶等产生烟尘污染物质行为的处罚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20" w:lineRule="exact"/>
              <w:ind w:firstLine="480" w:firstLineChars="200"/>
              <w:jc w:val="left"/>
              <w:rPr>
                <w:rFonts w:hint="eastAsia" w:ascii="Times New Roman" w:hAnsi="Times New Roman" w:eastAsia="仿宋_GB2312"/>
                <w:sz w:val="24"/>
              </w:rPr>
            </w:pPr>
            <w:r>
              <w:rPr>
                <w:rFonts w:ascii="Times New Roman" w:hAnsi="Times New Roman" w:eastAsia="仿宋_GB2312"/>
                <w:sz w:val="24"/>
              </w:rPr>
              <w:t>《中华人民共和国大气污染防治法》第一百一十九条第一款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3" w:hRule="atLeast"/>
          <w:jc w:val="center"/>
        </w:trPr>
        <w:tc>
          <w:tcPr>
            <w:tcW w:w="638" w:type="dxa"/>
            <w:shd w:val="clear" w:color="auto" w:fill="auto"/>
            <w:noWrap w:val="0"/>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w:t>
            </w:r>
          </w:p>
        </w:tc>
        <w:tc>
          <w:tcPr>
            <w:tcW w:w="2408" w:type="dxa"/>
            <w:tcBorders>
              <w:bottom w:val="single" w:color="auto" w:sz="4" w:space="0"/>
            </w:tcBorders>
            <w:shd w:val="clear" w:color="auto" w:fill="auto"/>
            <w:noWrap w:val="0"/>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对拒绝现场检查或被检查时弄虚作假的行为的处罚</w:t>
            </w:r>
          </w:p>
        </w:tc>
        <w:tc>
          <w:tcPr>
            <w:tcW w:w="672" w:type="dxa"/>
            <w:shd w:val="clear" w:color="auto" w:fill="auto"/>
            <w:noWrap w:val="0"/>
            <w:vAlign w:val="center"/>
          </w:tcPr>
          <w:p>
            <w:pPr>
              <w:topLinePunct/>
              <w:adjustRightInd w:val="0"/>
              <w:snapToGrid w:val="0"/>
              <w:spacing w:line="26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60" w:lineRule="exact"/>
              <w:jc w:val="center"/>
              <w:rPr>
                <w:rFonts w:ascii="Times New Roman" w:hAnsi="Times New Roman" w:eastAsia="仿宋_GB2312"/>
                <w:sz w:val="22"/>
                <w:szCs w:val="22"/>
              </w:rPr>
            </w:pPr>
            <w:r>
              <w:rPr>
                <w:rFonts w:ascii="Times New Roman" w:hAnsi="Times New Roman" w:eastAsia="仿宋_GB2312"/>
                <w:sz w:val="24"/>
              </w:rPr>
              <w:t>处罚</w:t>
            </w:r>
          </w:p>
        </w:tc>
        <w:tc>
          <w:tcPr>
            <w:tcW w:w="6957" w:type="dxa"/>
            <w:vMerge w:val="restart"/>
            <w:shd w:val="clear" w:color="auto" w:fill="auto"/>
            <w:noWrap w:val="0"/>
            <w:vAlign w:val="center"/>
          </w:tcPr>
          <w:p>
            <w:pPr>
              <w:topLinePunct/>
              <w:adjustRightInd w:val="0"/>
              <w:snapToGrid w:val="0"/>
              <w:spacing w:line="27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《中华人民共和国水污染防治法》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topLinePunct/>
              <w:adjustRightInd w:val="0"/>
              <w:snapToGrid w:val="0"/>
              <w:spacing w:line="27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《中华人民共和国大气污染防治法》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topLinePunct/>
              <w:adjustRightInd w:val="0"/>
              <w:snapToGrid w:val="0"/>
              <w:spacing w:line="27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《中华人民共和国固体废物污染环境防治法》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topLinePunct/>
              <w:adjustRightInd w:val="0"/>
              <w:snapToGrid w:val="0"/>
              <w:spacing w:line="27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《中华人民共和国环境噪声污染防治法》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w:t>
            </w:r>
            <w:r>
              <w:rPr>
                <w:rFonts w:ascii="Times New Roman" w:hAnsi="Times New Roman" w:eastAsia="仿宋_GB2312"/>
                <w:spacing w:val="6"/>
                <w:sz w:val="22"/>
                <w:szCs w:val="22"/>
              </w:rPr>
              <w:t>督管理部门、机构可以根据不同情节，给予警告或者处以罚款。</w:t>
            </w:r>
          </w:p>
          <w:p>
            <w:pPr>
              <w:topLinePunct/>
              <w:adjustRightInd w:val="0"/>
              <w:snapToGrid w:val="0"/>
              <w:spacing w:line="270" w:lineRule="exact"/>
              <w:ind w:firstLine="440" w:firstLineChars="200"/>
              <w:jc w:val="left"/>
              <w:rPr>
                <w:rFonts w:ascii="Times New Roman" w:hAnsi="Times New Roman" w:eastAsia="仿宋_GB2312"/>
                <w:sz w:val="22"/>
                <w:szCs w:val="22"/>
              </w:rPr>
            </w:pPr>
            <w:r>
              <w:rPr>
                <w:rFonts w:ascii="Times New Roman" w:hAnsi="Times New Roman" w:eastAsia="仿宋_GB2312"/>
                <w:sz w:val="22"/>
                <w:szCs w:val="22"/>
              </w:rPr>
              <w:t>《中华人民共和国放射性污染防治法》 第四十九条第一款第二项 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w:t>
            </w:r>
          </w:p>
          <w:p>
            <w:pPr>
              <w:topLinePunct/>
              <w:adjustRightInd w:val="0"/>
              <w:snapToGrid w:val="0"/>
              <w:spacing w:line="28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《医疗废物管理条例》（国务院令第380号）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topLinePunct/>
              <w:adjustRightInd w:val="0"/>
              <w:snapToGrid w:val="0"/>
              <w:spacing w:line="28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《放射性废物安全管理条例》（国务院令第612号） 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topLinePunct/>
              <w:adjustRightInd w:val="0"/>
              <w:snapToGrid w:val="0"/>
              <w:spacing w:line="28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《医疗废物管理行政处罚办法（试行）》（2004年国家环境保护总局令第21号，2010年修正） 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topLinePunct/>
              <w:adjustRightInd w:val="0"/>
              <w:snapToGrid w:val="0"/>
              <w:spacing w:line="280" w:lineRule="exact"/>
              <w:ind w:firstLine="440" w:firstLineChars="200"/>
              <w:rPr>
                <w:rFonts w:ascii="Times New Roman" w:hAnsi="Times New Roman" w:eastAsia="仿宋_GB2312"/>
                <w:sz w:val="22"/>
                <w:szCs w:val="22"/>
              </w:rPr>
            </w:pPr>
            <w:r>
              <w:rPr>
                <w:rFonts w:ascii="Times New Roman" w:hAnsi="Times New Roman" w:eastAsia="仿宋_GB2312"/>
                <w:sz w:val="22"/>
                <w:szCs w:val="22"/>
              </w:rPr>
              <w:t>《</w:t>
            </w:r>
            <w:r>
              <w:rPr>
                <w:rFonts w:ascii="Times New Roman" w:hAnsi="Times New Roman" w:eastAsia="仿宋_GB2312"/>
                <w:spacing w:val="-2"/>
                <w:sz w:val="22"/>
                <w:szCs w:val="22"/>
              </w:rPr>
              <w:t>电子废物污染环境防治管理办法》（2007年国家环境保护总局令第40号） 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w:t>
            </w:r>
            <w:r>
              <w:rPr>
                <w:rFonts w:ascii="Times New Roman" w:hAnsi="Times New Roman" w:eastAsia="仿宋_GB2312"/>
                <w:sz w:val="22"/>
                <w:szCs w:val="22"/>
              </w:rPr>
              <w:t>罪的，依法追究刑事责任。</w:t>
            </w:r>
          </w:p>
        </w:tc>
        <w:tc>
          <w:tcPr>
            <w:tcW w:w="1203" w:type="dxa"/>
            <w:shd w:val="clear" w:color="auto" w:fill="auto"/>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shd w:val="clear" w:color="auto" w:fill="auto"/>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shd w:val="clear" w:color="auto" w:fill="auto"/>
            <w:noWrap w:val="0"/>
            <w:tcMar>
              <w:top w:w="28" w:type="dxa"/>
              <w:bottom w:w="28" w:type="dxa"/>
            </w:tcMar>
            <w:vAlign w:val="center"/>
          </w:tcPr>
          <w:p>
            <w:pPr>
              <w:pStyle w:val="9"/>
              <w:topLinePunct/>
              <w:adjustRightInd w:val="0"/>
              <w:snapToGrid w:val="0"/>
              <w:spacing w:after="0" w:line="24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0" w:hRule="atLeast"/>
          <w:jc w:val="center"/>
        </w:trPr>
        <w:tc>
          <w:tcPr>
            <w:tcW w:w="638" w:type="dxa"/>
            <w:shd w:val="clear" w:color="auto" w:fill="auto"/>
            <w:noWrap w:val="0"/>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w:t>
            </w:r>
          </w:p>
        </w:tc>
        <w:tc>
          <w:tcPr>
            <w:tcW w:w="2408" w:type="dxa"/>
            <w:tcBorders>
              <w:bottom w:val="single" w:color="auto" w:sz="4" w:space="0"/>
            </w:tcBorders>
            <w:shd w:val="clear" w:color="auto" w:fill="auto"/>
            <w:noWrap w:val="0"/>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对拒绝现场检查或被检查时弄虚作假的行为的处罚</w:t>
            </w:r>
          </w:p>
        </w:tc>
        <w:tc>
          <w:tcPr>
            <w:tcW w:w="672" w:type="dxa"/>
            <w:tcBorders>
              <w:bottom w:val="single" w:color="auto" w:sz="4" w:space="0"/>
            </w:tcBorders>
            <w:shd w:val="clear" w:color="auto" w:fill="auto"/>
            <w:noWrap w:val="0"/>
            <w:vAlign w:val="center"/>
          </w:tcPr>
          <w:p>
            <w:pPr>
              <w:topLinePunct/>
              <w:adjustRightInd w:val="0"/>
              <w:snapToGrid w:val="0"/>
              <w:spacing w:line="26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60" w:lineRule="exact"/>
              <w:jc w:val="center"/>
              <w:rPr>
                <w:rFonts w:ascii="Times New Roman" w:hAnsi="Times New Roman" w:eastAsia="仿宋_GB2312"/>
                <w:sz w:val="22"/>
                <w:szCs w:val="22"/>
              </w:rPr>
            </w:pPr>
            <w:r>
              <w:rPr>
                <w:rFonts w:ascii="Times New Roman" w:hAnsi="Times New Roman" w:eastAsia="仿宋_GB2312"/>
                <w:sz w:val="24"/>
              </w:rPr>
              <w:t>处罚</w:t>
            </w:r>
          </w:p>
        </w:tc>
        <w:tc>
          <w:tcPr>
            <w:tcW w:w="6957" w:type="dxa"/>
            <w:vMerge w:val="continue"/>
            <w:shd w:val="clear" w:color="auto" w:fill="auto"/>
            <w:noWrap w:val="0"/>
            <w:vAlign w:val="center"/>
          </w:tcPr>
          <w:p>
            <w:pPr>
              <w:topLinePunct/>
              <w:adjustRightInd w:val="0"/>
              <w:snapToGrid w:val="0"/>
              <w:spacing w:line="270" w:lineRule="exact"/>
              <w:ind w:firstLine="440" w:firstLineChars="200"/>
              <w:rPr>
                <w:rFonts w:ascii="Times New Roman" w:hAnsi="Times New Roman" w:eastAsia="仿宋_GB2312"/>
                <w:sz w:val="22"/>
                <w:szCs w:val="22"/>
              </w:rPr>
            </w:pPr>
          </w:p>
        </w:tc>
        <w:tc>
          <w:tcPr>
            <w:tcW w:w="1203" w:type="dxa"/>
            <w:tcBorders>
              <w:bottom w:val="single" w:color="auto" w:sz="4" w:space="0"/>
            </w:tcBorders>
            <w:shd w:val="clear" w:color="auto" w:fill="auto"/>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tcBorders>
              <w:bottom w:val="single" w:color="auto" w:sz="4" w:space="0"/>
            </w:tcBorders>
            <w:shd w:val="clear" w:color="auto" w:fill="auto"/>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tcBorders>
              <w:bottom w:val="single" w:color="auto" w:sz="4" w:space="0"/>
            </w:tcBorders>
            <w:shd w:val="clear" w:color="auto" w:fill="auto"/>
            <w:noWrap w:val="0"/>
            <w:tcMar>
              <w:top w:w="28" w:type="dxa"/>
              <w:bottom w:w="28" w:type="dxa"/>
            </w:tcMar>
            <w:vAlign w:val="center"/>
          </w:tcPr>
          <w:p>
            <w:pPr>
              <w:pStyle w:val="9"/>
              <w:topLinePunct/>
              <w:adjustRightInd w:val="0"/>
              <w:snapToGrid w:val="0"/>
              <w:spacing w:after="0" w:line="24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jc w:val="center"/>
        </w:trPr>
        <w:tc>
          <w:tcPr>
            <w:tcW w:w="638" w:type="dxa"/>
            <w:tcBorders>
              <w:top w:val="single" w:color="auto" w:sz="4" w:space="0"/>
            </w:tcBorders>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408" w:type="dxa"/>
            <w:tcBorders>
              <w:top w:val="single" w:color="auto" w:sz="4" w:space="0"/>
            </w:tcBorders>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对在饮用水水源保护区内设置排污口的行为的处罚</w:t>
            </w:r>
          </w:p>
        </w:tc>
        <w:tc>
          <w:tcPr>
            <w:tcW w:w="672" w:type="dxa"/>
            <w:tcBorders>
              <w:top w:val="single" w:color="auto" w:sz="4" w:space="0"/>
            </w:tcBorders>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tcBorders>
              <w:top w:val="single" w:color="auto" w:sz="4" w:space="0"/>
            </w:tcBorders>
            <w:noWrap w:val="0"/>
            <w:tcMar>
              <w:top w:w="28" w:type="dxa"/>
              <w:bottom w:w="28" w:type="dxa"/>
            </w:tcMar>
            <w:vAlign w:val="center"/>
          </w:tcPr>
          <w:p>
            <w:pPr>
              <w:topLinePunct/>
              <w:adjustRightInd w:val="0"/>
              <w:snapToGrid w:val="0"/>
              <w:spacing w:line="25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《中华人民共和国水污染防治法》 第八十四条第一款、第二款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topLinePunct/>
              <w:adjustRightInd w:val="0"/>
              <w:snapToGrid w:val="0"/>
              <w:spacing w:line="250" w:lineRule="exact"/>
              <w:ind w:firstLine="480" w:firstLineChars="200"/>
              <w:jc w:val="left"/>
              <w:rPr>
                <w:rFonts w:ascii="Times New Roman" w:hAnsi="Times New Roman" w:eastAsia="仿宋_GB2312"/>
                <w:sz w:val="24"/>
              </w:rPr>
            </w:pPr>
            <w:r>
              <w:rPr>
                <w:rFonts w:ascii="Times New Roman" w:hAnsi="Times New Roman" w:eastAsia="仿宋_GB2312"/>
                <w:sz w:val="24"/>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1203" w:type="dxa"/>
            <w:tcBorders>
              <w:top w:val="single" w:color="auto" w:sz="4" w:space="0"/>
            </w:tcBorders>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tcBorders>
              <w:top w:val="single" w:color="auto" w:sz="4" w:space="0"/>
            </w:tcBorders>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tcBorders>
              <w:top w:val="single" w:color="auto" w:sz="4" w:space="0"/>
            </w:tcBorders>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7</w:t>
            </w:r>
          </w:p>
        </w:tc>
        <w:tc>
          <w:tcPr>
            <w:tcW w:w="2408" w:type="dxa"/>
            <w:noWrap w:val="0"/>
            <w:tcMar>
              <w:top w:w="28" w:type="dxa"/>
              <w:bottom w:w="28" w:type="dxa"/>
            </w:tcMar>
            <w:vAlign w:val="center"/>
          </w:tcPr>
          <w:p>
            <w:pPr>
              <w:topLinePunct/>
              <w:adjustRightInd w:val="0"/>
              <w:snapToGrid w:val="0"/>
              <w:spacing w:line="260" w:lineRule="exact"/>
              <w:rPr>
                <w:rFonts w:ascii="Times New Roman" w:hAnsi="Times New Roman" w:eastAsia="仿宋_GB2312"/>
                <w:spacing w:val="-4"/>
                <w:sz w:val="24"/>
              </w:rPr>
            </w:pPr>
            <w:r>
              <w:rPr>
                <w:rFonts w:ascii="Times New Roman" w:hAnsi="Times New Roman" w:eastAsia="仿宋_GB2312"/>
                <w:spacing w:val="-4"/>
                <w:sz w:val="24"/>
              </w:rPr>
              <w:t>对在人口集中地区和其他依法需要特殊保护的区域内，焚烧沥青、油毡、橡胶、塑料、皮革、垃圾以及其他产生有毒有害烟尘和恶臭气体的物质的行为的处罚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4"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2408" w:type="dxa"/>
            <w:noWrap w:val="0"/>
            <w:tcMar>
              <w:top w:w="28" w:type="dxa"/>
              <w:bottom w:w="28" w:type="dxa"/>
            </w:tcMar>
            <w:vAlign w:val="center"/>
          </w:tcPr>
          <w:p>
            <w:pPr>
              <w:topLinePunct/>
              <w:adjustRightInd w:val="0"/>
              <w:snapToGrid w:val="0"/>
              <w:spacing w:line="260" w:lineRule="exact"/>
              <w:rPr>
                <w:rFonts w:ascii="Times New Roman" w:hAnsi="Times New Roman" w:eastAsia="仿宋_GB2312"/>
                <w:sz w:val="24"/>
              </w:rPr>
            </w:pPr>
            <w:r>
              <w:rPr>
                <w:rFonts w:ascii="Times New Roman" w:hAnsi="Times New Roman" w:eastAsia="仿宋_GB2312"/>
                <w:sz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《中华人民共和国大气污染防治法》第一百零七条第一款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市生态环境局万荣分局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5"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9</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pacing w:val="4"/>
                <w:sz w:val="24"/>
              </w:rPr>
              <w:t>对从事畜禽规模养殖未及时收集、贮存、利用或者处置养殖过程中产生的畜禽粪污等固体废物的行</w:t>
            </w:r>
            <w:r>
              <w:rPr>
                <w:rFonts w:ascii="Times New Roman" w:hAnsi="Times New Roman" w:eastAsia="仿宋_GB2312"/>
                <w:sz w:val="24"/>
              </w:rPr>
              <w:t>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《中华人民共和国固体废物污染环境防治法》第一百零七条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hint="eastAsia" w:ascii="Times New Roman" w:hAnsi="Times New Roman" w:eastAsia="仿宋_GB2312"/>
                <w:sz w:val="24"/>
              </w:rPr>
              <w:t>市</w:t>
            </w:r>
            <w:r>
              <w:rPr>
                <w:rFonts w:ascii="Times New Roman" w:hAnsi="Times New Roman" w:eastAsia="仿宋_GB2312"/>
                <w:sz w:val="24"/>
              </w:rPr>
              <w:t>生态环境</w:t>
            </w:r>
            <w:r>
              <w:rPr>
                <w:rFonts w:hint="eastAsia" w:ascii="Times New Roman" w:hAnsi="Times New Roman" w:eastAsia="仿宋_GB2312"/>
                <w:sz w:val="24"/>
              </w:rPr>
              <w:t>局</w:t>
            </w:r>
            <w:r>
              <w:rPr>
                <w:rFonts w:ascii="Times New Roman" w:hAnsi="Times New Roman" w:eastAsia="仿宋_GB2312"/>
                <w:sz w:val="24"/>
              </w:rPr>
              <w:t>万荣分局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5"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10</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对未经业主大会同意，物业服务企业擅自改变物业管理用房用途的行为的处罚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《物业管理条例》（国务院令第698号）第六十二条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对擅自改变物业管理区域内公共建筑和共用设施用途的行为的处罚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《物业管理条例》（国务院令第698号）第六十三条第一款第一项、第二款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个</w:t>
            </w:r>
            <w:r>
              <w:rPr>
                <w:rFonts w:ascii="Times New Roman" w:hAnsi="Times New Roman" w:eastAsia="仿宋_GB2312"/>
                <w:spacing w:val="4"/>
                <w:sz w:val="24"/>
              </w:rPr>
              <w:t>人有前款规定行为之一的，处1000元以上1万元以下的罚款；单位有前款规定行为之一的，处5万元以上20万元以下的罚款。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4"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12</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对公共场所随地吐痰的行为的处罚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《山西省禁止公共场所随地吐痰的规定》（省第十三届人大常委会第十八次会议于2020年5月15日通过）第十五条 在公共场所随地</w:t>
            </w:r>
            <w:r>
              <w:rPr>
                <w:rFonts w:ascii="Times New Roman" w:hAnsi="Times New Roman" w:eastAsia="仿宋_GB2312"/>
                <w:spacing w:val="-6"/>
                <w:sz w:val="23"/>
                <w:szCs w:val="23"/>
              </w:rPr>
              <w:t>吐痰的，由县级以上人民政府城市管理行政执法部门或者其依法委托的单位责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w:t>
            </w:r>
            <w:r>
              <w:rPr>
                <w:rFonts w:ascii="Times New Roman" w:hAnsi="Times New Roman" w:eastAsia="仿宋_GB2312"/>
                <w:sz w:val="23"/>
                <w:szCs w:val="23"/>
              </w:rPr>
              <w:t>内随地吐痰的，处三百元以上五百元以下的罚款。</w:t>
            </w:r>
          </w:p>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违反本规定的其他行为，法律、行政法规已有法律责任规定的，从其规定。</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13</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对随意倾倒、抛撒、堆放或者焚烧生活垃圾的行为的处罚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 xml:space="preserve">《中华人民共和国固体废物污染环境防治法》第一百一十一条第一款第一项、第二款 </w:t>
            </w:r>
            <w:r>
              <w:rPr>
                <w:rFonts w:hint="eastAsia" w:ascii="Times New Roman" w:hAnsi="Times New Roman" w:eastAsia="仿宋_GB2312"/>
                <w:sz w:val="23"/>
                <w:szCs w:val="23"/>
              </w:rPr>
              <w:t xml:space="preserve"> </w:t>
            </w:r>
            <w:r>
              <w:rPr>
                <w:rFonts w:ascii="Times New Roman" w:hAnsi="Times New Roman" w:eastAsia="仿宋_GB2312"/>
                <w:sz w:val="23"/>
                <w:szCs w:val="23"/>
              </w:rPr>
              <w:t>违反本法规定，有下列行为之一，由县级以上地方人民政府环境卫生主管部门责令改正，处以罚款，没收违法所得：（一）随意倾倒、抛撒、堆放或者焚烧生活垃圾的。</w:t>
            </w:r>
          </w:p>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单位有前款第一项、第七项行为之一，处五万元以上五十万元以下的罚款；个人有前款第一项、第五项、第七项行为之一，处一百元以上五百元以下的罚款。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2"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14</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对搭建、堆放、吊挂影响城镇容貌的物品的行为的处罚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60" w:lineRule="exact"/>
              <w:ind w:firstLine="460" w:firstLineChars="200"/>
              <w:rPr>
                <w:rFonts w:ascii="Times New Roman" w:hAnsi="Times New Roman" w:eastAsia="仿宋_GB2312"/>
                <w:sz w:val="23"/>
                <w:szCs w:val="23"/>
              </w:rPr>
            </w:pPr>
            <w:r>
              <w:rPr>
                <w:rFonts w:ascii="Times New Roman" w:hAnsi="Times New Roman" w:eastAsia="仿宋_GB2312"/>
                <w:sz w:val="23"/>
                <w:szCs w:val="23"/>
              </w:rPr>
              <w:t xml:space="preserve">《城市市容和环境卫生管理条例》（国务院令第101号）第三十四条第一款第三项 </w:t>
            </w:r>
            <w:r>
              <w:rPr>
                <w:rFonts w:hint="eastAsia" w:ascii="Times New Roman" w:hAnsi="Times New Roman" w:eastAsia="仿宋_GB2312"/>
                <w:sz w:val="23"/>
                <w:szCs w:val="23"/>
              </w:rPr>
              <w:t xml:space="preserve"> </w:t>
            </w:r>
            <w:r>
              <w:rPr>
                <w:rFonts w:ascii="Times New Roman" w:hAnsi="Times New Roman" w:eastAsia="仿宋_GB2312"/>
                <w:sz w:val="23"/>
                <w:szCs w:val="23"/>
              </w:rPr>
              <w:t>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p>
            <w:pPr>
              <w:topLinePunct/>
              <w:adjustRightInd w:val="0"/>
              <w:snapToGrid w:val="0"/>
              <w:spacing w:line="260" w:lineRule="exact"/>
              <w:ind w:firstLine="460" w:firstLineChars="200"/>
              <w:rPr>
                <w:rFonts w:ascii="Times New Roman" w:hAnsi="Times New Roman" w:eastAsia="仿宋_GB2312"/>
                <w:sz w:val="23"/>
                <w:szCs w:val="23"/>
              </w:rPr>
            </w:pPr>
            <w:r>
              <w:rPr>
                <w:rFonts w:ascii="Times New Roman" w:hAnsi="Times New Roman" w:eastAsia="仿宋_GB2312"/>
                <w:sz w:val="23"/>
                <w:szCs w:val="23"/>
              </w:rPr>
              <w:t>《山西省城乡环境综合治理条例》（省第十二届人大常委会第三十九次会议于2017年7月4日通过）第五十九条第一款第一项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38"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15</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对在城镇道路、建筑物、构筑物、树木、市政及其他设施上涂写、刻画，擅自张贴广告、墙报、标语和海报等宣传品的行为的处罚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《城市市容和环境卫生管理条例》（国务院令第101号）第三十四条第一款第二项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《山西省城乡环境综合治理条例》（省第十二届人大常委会第三十九次会议于2017年7月4日通过）第五十九条第一款第二项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1"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16</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对在城市住宅小区内饲养家禽、家畜的，或者饲养宠物影响环境卫生的行为的处罚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《城市市容和环境卫生管理条例》（国务院令第101号）第三十五条  饲养家畜家禽影响市容和环境卫生的，由城市人民政府市容环境卫生行政主管部门或者其委托的单位，责令其限期处理或者予以没收，并可处以罚款。</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《山西省城乡环境综合治理条例》（省第十二届人大常委会第三十九次会议于2017年7月4日通过）第六十二条  违反本条例规定，在城市住宅小区内饲养家禽、家畜的，或者饲养宠物影响环境卫生的，由有关主管部门责令限期处理；拒不处理的，予以没收，并处五十元以上二百元以下罚款。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5"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17</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对单位和个人随意倾倒、抛撒或者堆放建筑垃圾的行为的处罚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jc w:val="left"/>
              <w:rPr>
                <w:rFonts w:ascii="Times New Roman" w:hAnsi="Times New Roman" w:eastAsia="仿宋_GB2312"/>
                <w:sz w:val="24"/>
              </w:rPr>
            </w:pPr>
            <w:r>
              <w:rPr>
                <w:rFonts w:ascii="Times New Roman" w:hAnsi="Times New Roman" w:eastAsia="仿宋_GB2312"/>
                <w:sz w:val="24"/>
              </w:rPr>
              <w:t>《城市建筑垃圾管理规定》 （2005年中华人民共和国建设部令第139号公布） 第二十六条 任何单位和个人随意倾倒、抛撒或者堆放建筑垃圾的，由城市人民政府市容环境卫生主管部门责令限期改正，给予警告，并对单位处5000元以上5万元以下罚款，对个人处200元以下罚款。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住建局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top"/>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18</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对道路运输相关业务经营者未按规定备案的行为的处罚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jc w:val="left"/>
              <w:rPr>
                <w:rFonts w:ascii="Times New Roman" w:hAnsi="Times New Roman" w:eastAsia="仿宋_GB2312"/>
                <w:sz w:val="24"/>
              </w:rPr>
            </w:pPr>
            <w:r>
              <w:rPr>
                <w:rFonts w:ascii="Times New Roman" w:hAnsi="Times New Roman" w:eastAsia="仿宋_GB2312"/>
                <w:sz w:val="24"/>
              </w:rPr>
              <w:t>《山西省道路运输条例》 （2010年9月29日山西省第十一届人民代表大会常务委员会第十九次会议通过 2019年修正） 第六十六条 违反本条例规定，机动车综合性能检测、搬运装卸、货运代理、货物配载、仓储理货和信息服务等道路运输相关业务经营者未按规定备案的，由县级以上道路运输管理机构责令限期改正；逾期不改正的，处一千元以上三千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交通运输局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19</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jc w:val="left"/>
              <w:rPr>
                <w:rFonts w:ascii="Times New Roman" w:hAnsi="Times New Roman" w:eastAsia="仿宋_GB2312"/>
                <w:sz w:val="24"/>
              </w:rPr>
            </w:pPr>
            <w:r>
              <w:rPr>
                <w:rFonts w:ascii="Times New Roman" w:hAnsi="Times New Roman" w:eastAsia="仿宋_GB2312"/>
                <w:sz w:val="24"/>
              </w:rPr>
              <w:t>《公路安全保护条例》（国务院令第593号）第五十六条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交通运输局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对车辆装载物触地拖行、掉落、遗洒或者飘散，造成公路路面损坏、污染的行为的处罚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jc w:val="left"/>
              <w:rPr>
                <w:rFonts w:ascii="Times New Roman" w:hAnsi="Times New Roman" w:eastAsia="仿宋_GB2312"/>
                <w:sz w:val="24"/>
              </w:rPr>
            </w:pPr>
            <w:r>
              <w:rPr>
                <w:rFonts w:ascii="Times New Roman" w:hAnsi="Times New Roman" w:eastAsia="仿宋_GB2312"/>
                <w:sz w:val="24"/>
              </w:rPr>
              <w:t>《公路安全保护条例》（国务院令第593号）第六十九条　车辆装载物触地拖行、掉落、遗洒或者飘散，造成公路路面损坏、污染的，由公路管理机构责令改正，处5000元以下的罚款。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交通运输局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对造成公路路面损坏、污染或者影响公路畅通的行为的处罚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《中华人民共和国公路法》第四十六条 任何单位和个人不得在公路上及公路用地范围内摆摊设点、堆放物品、倾倒垃圾、设置障碍、挖沟引水、利用公路边沟排放污物或者进行其他损坏、污染公路和影响公路畅通的活动。</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 xml:space="preserve">第七十七条 </w:t>
            </w:r>
            <w:r>
              <w:rPr>
                <w:rFonts w:hint="eastAsia" w:ascii="Times New Roman" w:hAnsi="Times New Roman" w:eastAsia="仿宋_GB2312"/>
                <w:sz w:val="24"/>
              </w:rPr>
              <w:t xml:space="preserve"> </w:t>
            </w:r>
            <w:r>
              <w:rPr>
                <w:rFonts w:ascii="Times New Roman" w:hAnsi="Times New Roman" w:eastAsia="仿宋_GB2312"/>
                <w:sz w:val="24"/>
              </w:rPr>
              <w:t>违反本法第四十六条的规定，造成公路路面损坏、污染或者影响公路畅通的，或者违反本法第五十一条规定，将公路作为试车场地的，由交通主管部门责令停止违法行为，可以处五千元以下的罚款。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交通运输局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2"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22</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对未经批准在河道管理范围内采砂的行为的处罚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《中华人民共和国河道管理条例》 （1988年中华人民共和国国务院令第3号 2018年修订）第四十四条第一款第四项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水</w:t>
            </w:r>
            <w:r>
              <w:rPr>
                <w:rFonts w:hint="eastAsia" w:ascii="Times New Roman" w:hAnsi="Times New Roman" w:eastAsia="仿宋_GB2312"/>
                <w:sz w:val="24"/>
              </w:rPr>
              <w:t>利</w:t>
            </w:r>
            <w:r>
              <w:rPr>
                <w:rFonts w:ascii="Times New Roman" w:hAnsi="Times New Roman" w:eastAsia="仿宋_GB2312"/>
                <w:sz w:val="24"/>
              </w:rPr>
              <w:t>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23</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对农村村民未经批准或者采取欺骗手段骗取批准，非法占用土地建住宅的行为的处罚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超过省、自治区、直辖市规定的标准，多占的土地以非法占用土地论处。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top"/>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0"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24</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对农产品生产企业、农民专业合作社、农业社会化服务组织未依照规定建立、保存农产品生产记录，或者伪造、变造农产品生产记录的行为的处罚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《中华人民共和国农产品质量安全法》第二十七条 农产品生产企业、农民专业合作社、农业社会化服务组织应当建立农产品生产记录，如实记载下列事项：</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（一）使用农业投入品的名称、来源、用法、用量和使用、停用的日期；</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（二）动物疫病、农作物病虫害的发生和防治情况；</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（三）收获、屠宰或者捕捞的日期。</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农产品生产记录应当至少保存二年。禁止伪造、变造农产品生产记录。</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国家鼓励其他农产品生产者建立农产品生产记录。</w:t>
            </w:r>
          </w:p>
          <w:p>
            <w:pPr>
              <w:topLinePunct/>
              <w:adjustRightInd w:val="0"/>
              <w:snapToGrid w:val="0"/>
              <w:spacing w:line="320" w:lineRule="exact"/>
              <w:ind w:firstLine="480" w:firstLineChars="200"/>
              <w:jc w:val="left"/>
              <w:rPr>
                <w:rFonts w:ascii="Times New Roman" w:hAnsi="Times New Roman" w:eastAsia="仿宋_GB2312"/>
                <w:sz w:val="24"/>
              </w:rPr>
            </w:pPr>
            <w:r>
              <w:rPr>
                <w:rFonts w:ascii="Times New Roman" w:hAnsi="Times New Roman" w:eastAsia="仿宋_GB2312"/>
                <w:sz w:val="24"/>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25</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对农产品生产企业、农民专业合作社、从事农产品收购的单位或者个人未按照规定开具承诺达标合格证等行为的处罚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《中华人民共和国农产品质量安全法》第三十八条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第七十三条 违反本法规定，有下列行为之一的，由县级以上地方人民政府农业农村主管部门按照职责给予批评教育，责令限期改正；逾期不改正的，处一百元以上一千元以下罚款：</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（一）农产品生产企业、农民专业合作社、从事农产品收购的单位或者个人未按照规定开具承诺达标合格证；</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（二）从事农产品收购的单位或者个人未按照规定收取、保存承诺达标合格证或者其他合格证明。</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26</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对生产、销售未取得登记证的肥料产品的行为的处罚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《肥料登记管理办法》 （2000年农业部令第32号公布 2022年农业农村部令2022年第1号修订）第二十六条 第一款 第一项 有下列情形之一的，由县级以上农业行政主管部门给予警告，并处违法所得3倍以下罚款，但最高不得超过30000元；没有违法所得的，处10000元以下罚款：（一）生产、销售未取得登记证的肥料产品。</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27</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对农药经营者未取得农药经营许可证经营农药的行为的处罚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《农药管理条例》 （1997年国务院令第216号 2022年修订）第五十五条第一款第一项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28</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《中华人民共和国动物防疫法》第九十八条第一款第一项、第七项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8"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29</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对销售种子应当包装而没有包装的行为的处罚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《中华人民共和国种子法》第七十九条第一款第一项　违反本法第三十六条、第三十八条、第三十九条、第四十条规定，有下列行为之一的，由县级以上人民政府农业农村、林业草原主管部门责令改正，处二千元以上二万元以下罚款：（一）销售的种子应当包装而没有包装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pacing w:val="-8"/>
                <w:w w:val="97"/>
                <w:sz w:val="24"/>
              </w:rPr>
            </w:pPr>
            <w:r>
              <w:rPr>
                <w:rFonts w:ascii="Times New Roman" w:hAnsi="Times New Roman" w:eastAsia="仿宋_GB2312"/>
                <w:spacing w:val="-8"/>
                <w:w w:val="97"/>
                <w:sz w:val="24"/>
              </w:rPr>
              <w:t>农业农村局</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top"/>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对互联网上网服务营业场所、娱乐场所在规定的营业时间以外营业的行为的处罚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rPr>
                <w:rFonts w:ascii="Times New Roman" w:hAnsi="Times New Roman" w:eastAsia="仿宋_GB2312"/>
                <w:sz w:val="24"/>
              </w:rPr>
            </w:pPr>
            <w:r>
              <w:rPr>
                <w:rFonts w:ascii="Times New Roman" w:hAnsi="Times New Roman" w:eastAsia="仿宋_GB2312"/>
                <w:sz w:val="24"/>
              </w:rPr>
              <w:t>《互</w:t>
            </w:r>
            <w:r>
              <w:rPr>
                <w:rFonts w:ascii="Times New Roman" w:hAnsi="Times New Roman" w:eastAsia="仿宋_GB2312"/>
                <w:spacing w:val="-4"/>
                <w:sz w:val="24"/>
              </w:rPr>
              <w:t>联网上网服务营业场所管理条例》（国务院令第363号）第三十一条第一款第一项  互联网上网服务营业场所经营单位违反本条例的规定，有下列行为之一的，由文化行政部门给予警告，可以并处15000元以下的罚款；情节严重的，责令停业整顿，直至吊销《网络文化经</w:t>
            </w:r>
            <w:r>
              <w:rPr>
                <w:rFonts w:ascii="Times New Roman" w:hAnsi="Times New Roman" w:eastAsia="仿宋_GB2312"/>
                <w:sz w:val="24"/>
              </w:rPr>
              <w:t>营许可证》：（一）在规定的营业时间以外营业的。</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《娱乐场所管理条例》（国务院令第458号）第四十九条第一款第二项  娱乐场所违反本条例规定，有下列情形之一的，由县级人民政府文化主管部门责令改正，给予警告；情节严重的，责令停业整顿1个月至3个月：（二）在本条例规定的禁止营业时间内营业的。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文旅局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对互联网上网服务营业场所、娱乐场所未按规定接纳未成年人进入营业场所的行为的处罚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rPr>
                <w:rFonts w:ascii="Times New Roman" w:hAnsi="Times New Roman" w:eastAsia="仿宋_GB2312"/>
                <w:spacing w:val="-2"/>
                <w:sz w:val="24"/>
              </w:rPr>
            </w:pPr>
            <w:r>
              <w:rPr>
                <w:rFonts w:ascii="Times New Roman" w:hAnsi="Times New Roman" w:eastAsia="仿宋_GB2312"/>
                <w:sz w:val="24"/>
              </w:rPr>
              <w:t>《</w:t>
            </w:r>
            <w:r>
              <w:rPr>
                <w:rFonts w:ascii="Times New Roman" w:hAnsi="Times New Roman" w:eastAsia="仿宋_GB2312"/>
                <w:spacing w:val="-2"/>
                <w:sz w:val="24"/>
              </w:rPr>
              <w:t>互联网上网服务营业场所管理条例》（国务院令第363号）第三十一条第一款第二项 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p>
          <w:p>
            <w:pPr>
              <w:topLinePunct/>
              <w:adjustRightInd w:val="0"/>
              <w:snapToGrid w:val="0"/>
              <w:ind w:firstLine="504" w:firstLineChars="200"/>
              <w:rPr>
                <w:rFonts w:ascii="Times New Roman" w:hAnsi="Times New Roman" w:eastAsia="仿宋_GB2312"/>
                <w:sz w:val="24"/>
              </w:rPr>
            </w:pPr>
            <w:r>
              <w:rPr>
                <w:rFonts w:ascii="Times New Roman" w:hAnsi="Times New Roman" w:eastAsia="仿宋_GB2312"/>
                <w:spacing w:val="6"/>
                <w:sz w:val="24"/>
              </w:rPr>
              <w:t>《娱乐场所管理条例》（国务院令第458号）第四十八条第一款第三项、第四项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w:t>
            </w:r>
            <w:r>
              <w:rPr>
                <w:rFonts w:ascii="Times New Roman" w:hAnsi="Times New Roman" w:eastAsia="仿宋_GB2312"/>
                <w:spacing w:val="-4"/>
                <w:sz w:val="24"/>
              </w:rPr>
              <w:t>年人提供的。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文旅局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7"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32</w:t>
            </w:r>
          </w:p>
        </w:tc>
        <w:tc>
          <w:tcPr>
            <w:tcW w:w="2408" w:type="dxa"/>
            <w:noWrap w:val="0"/>
            <w:tcMar>
              <w:top w:w="28" w:type="dxa"/>
              <w:bottom w:w="28" w:type="dxa"/>
            </w:tcMar>
            <w:vAlign w:val="center"/>
          </w:tcPr>
          <w:p>
            <w:pPr>
              <w:topLinePunct/>
              <w:adjustRightInd w:val="0"/>
              <w:snapToGrid w:val="0"/>
              <w:spacing w:line="270" w:lineRule="exact"/>
              <w:rPr>
                <w:rFonts w:ascii="Times New Roman" w:hAnsi="Times New Roman" w:eastAsia="仿宋_GB2312"/>
                <w:sz w:val="24"/>
              </w:rPr>
            </w:pPr>
            <w:r>
              <w:rPr>
                <w:rFonts w:ascii="Times New Roman" w:hAnsi="Times New Roman" w:eastAsia="仿宋_GB2312"/>
                <w:sz w:val="24"/>
              </w:rPr>
              <w:t>对互联网上网服务营业场所未悬挂《网络文化经营许可证》或者未成年人禁入标志的行为的处罚</w:t>
            </w:r>
          </w:p>
        </w:tc>
        <w:tc>
          <w:tcPr>
            <w:tcW w:w="672" w:type="dxa"/>
            <w:noWrap w:val="0"/>
            <w:tcMar>
              <w:top w:w="28" w:type="dxa"/>
              <w:bottom w:w="28" w:type="dxa"/>
            </w:tcMar>
            <w:vAlign w:val="center"/>
          </w:tcPr>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《互联网上网服务营业场所管理条例》（国务院令第363号）第三十一条第一款第五项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文旅局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33</w:t>
            </w:r>
          </w:p>
        </w:tc>
        <w:tc>
          <w:tcPr>
            <w:tcW w:w="2408" w:type="dxa"/>
            <w:noWrap w:val="0"/>
            <w:tcMar>
              <w:top w:w="28" w:type="dxa"/>
              <w:bottom w:w="28" w:type="dxa"/>
            </w:tcMar>
            <w:vAlign w:val="center"/>
          </w:tcPr>
          <w:p>
            <w:pPr>
              <w:topLinePunct/>
              <w:adjustRightInd w:val="0"/>
              <w:snapToGrid w:val="0"/>
              <w:spacing w:line="270" w:lineRule="exact"/>
              <w:rPr>
                <w:rFonts w:ascii="Times New Roman" w:hAnsi="Times New Roman" w:eastAsia="仿宋_GB2312"/>
                <w:sz w:val="24"/>
              </w:rPr>
            </w:pPr>
            <w:r>
              <w:rPr>
                <w:rFonts w:ascii="Times New Roman" w:hAnsi="Times New Roman" w:eastAsia="仿宋_GB2312"/>
                <w:sz w:val="24"/>
              </w:rPr>
              <w:t>对娱乐场所未按照规定悬挂警示标志、未成年人禁入或者限入标志的行为的处罚</w:t>
            </w:r>
          </w:p>
        </w:tc>
        <w:tc>
          <w:tcPr>
            <w:tcW w:w="672" w:type="dxa"/>
            <w:noWrap w:val="0"/>
            <w:tcMar>
              <w:top w:w="28" w:type="dxa"/>
              <w:bottom w:w="28" w:type="dxa"/>
            </w:tcMar>
            <w:vAlign w:val="center"/>
          </w:tcPr>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《娱乐场所管理条例》（国务院令第458号）第五十一条  娱乐场所未按照本条例规定悬挂警示标志、未成年人禁入或者限入标志的，由县级人民政府文化主管部门、县级公安部门依据法定职权责令改正，给予警告。</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文旅局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5"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34</w:t>
            </w:r>
          </w:p>
        </w:tc>
        <w:tc>
          <w:tcPr>
            <w:tcW w:w="2408" w:type="dxa"/>
            <w:noWrap w:val="0"/>
            <w:tcMar>
              <w:top w:w="28" w:type="dxa"/>
              <w:bottom w:w="28" w:type="dxa"/>
            </w:tcMar>
            <w:vAlign w:val="center"/>
          </w:tcPr>
          <w:p>
            <w:pPr>
              <w:topLinePunct/>
              <w:adjustRightInd w:val="0"/>
              <w:snapToGrid w:val="0"/>
              <w:spacing w:line="270" w:lineRule="exact"/>
              <w:rPr>
                <w:rFonts w:ascii="Times New Roman" w:hAnsi="Times New Roman" w:eastAsia="仿宋_GB2312"/>
                <w:sz w:val="24"/>
              </w:rPr>
            </w:pPr>
            <w:r>
              <w:rPr>
                <w:rFonts w:ascii="Times New Roman" w:hAnsi="Times New Roman" w:eastAsia="仿宋_GB2312"/>
                <w:sz w:val="24"/>
              </w:rPr>
              <w:t>对安排未经职业健康检查的劳动者、有职业禁忌的劳动者、未成年工或者孕期、哺乳期女职工从事接触职业病危害的作业或者禁忌作业的行为的处罚</w:t>
            </w:r>
          </w:p>
        </w:tc>
        <w:tc>
          <w:tcPr>
            <w:tcW w:w="672" w:type="dxa"/>
            <w:noWrap w:val="0"/>
            <w:tcMar>
              <w:top w:w="28" w:type="dxa"/>
              <w:bottom w:w="28" w:type="dxa"/>
            </w:tcMar>
            <w:vAlign w:val="center"/>
          </w:tcPr>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《中华人民共和国职业病防治法》第七十五条第一款第七项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卫体局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35</w:t>
            </w:r>
          </w:p>
        </w:tc>
        <w:tc>
          <w:tcPr>
            <w:tcW w:w="2408" w:type="dxa"/>
            <w:noWrap w:val="0"/>
            <w:tcMar>
              <w:top w:w="28" w:type="dxa"/>
              <w:bottom w:w="28" w:type="dxa"/>
            </w:tcMar>
            <w:vAlign w:val="center"/>
          </w:tcPr>
          <w:p>
            <w:pPr>
              <w:topLinePunct/>
              <w:adjustRightInd w:val="0"/>
              <w:snapToGrid w:val="0"/>
              <w:spacing w:line="270" w:lineRule="exact"/>
              <w:rPr>
                <w:rFonts w:ascii="Times New Roman" w:hAnsi="Times New Roman" w:eastAsia="仿宋_GB2312"/>
                <w:sz w:val="24"/>
              </w:rPr>
            </w:pPr>
            <w:r>
              <w:rPr>
                <w:rFonts w:ascii="Times New Roman" w:hAnsi="Times New Roman" w:eastAsia="仿宋_GB2312"/>
                <w:sz w:val="24"/>
              </w:rPr>
              <w:t>对从业人员安全培训的时间少于《生产经营单位安全培训规定》或者有关标准规定的，相关人员未按规</w:t>
            </w:r>
            <w:r>
              <w:rPr>
                <w:rFonts w:ascii="Times New Roman" w:hAnsi="Times New Roman" w:eastAsia="仿宋_GB2312"/>
                <w:spacing w:val="6"/>
                <w:sz w:val="24"/>
              </w:rPr>
              <w:t>定重新参加安全培训的行为的处罚</w:t>
            </w:r>
          </w:p>
        </w:tc>
        <w:tc>
          <w:tcPr>
            <w:tcW w:w="672" w:type="dxa"/>
            <w:noWrap w:val="0"/>
            <w:tcMar>
              <w:top w:w="28" w:type="dxa"/>
              <w:bottom w:w="28" w:type="dxa"/>
            </w:tcMar>
            <w:vAlign w:val="center"/>
          </w:tcPr>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27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《安全生产培训管理办法》（2012年国家安全监管总局令第44号，2015年修正）第三十六条第一款第一项、第三项  生产经营单位有下列情形之一的，责令改正，处3万元以下的罚款：（一）从业人员安全培训的时间少于《生产经营单位安全培训规定》或者有关标准规定的；（三）相关人员未按照本办法第十二条规定重新参加安全培训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应急局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0"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36</w:t>
            </w:r>
          </w:p>
        </w:tc>
        <w:tc>
          <w:tcPr>
            <w:tcW w:w="2408" w:type="dxa"/>
            <w:noWrap w:val="0"/>
            <w:tcMar>
              <w:top w:w="28" w:type="dxa"/>
              <w:bottom w:w="28" w:type="dxa"/>
            </w:tcMar>
            <w:vAlign w:val="center"/>
          </w:tcPr>
          <w:p>
            <w:pPr>
              <w:topLinePunct/>
              <w:adjustRightInd w:val="0"/>
              <w:snapToGrid w:val="0"/>
              <w:spacing w:line="300" w:lineRule="exact"/>
              <w:rPr>
                <w:rFonts w:ascii="Times New Roman" w:hAnsi="Times New Roman" w:eastAsia="仿宋_GB2312"/>
                <w:sz w:val="24"/>
              </w:rPr>
            </w:pPr>
            <w:r>
              <w:rPr>
                <w:rFonts w:ascii="Times New Roman" w:hAnsi="Times New Roman" w:eastAsia="仿宋_GB2312"/>
                <w:sz w:val="24"/>
              </w:rPr>
              <w:t>对知道或者应当知道生产经营单位未取得安全生产许可证或者其他批准文件擅自从事生产经营活动，仍为其提供生产经营场所、运输、保管、仓储等条件的行为的处罚</w:t>
            </w:r>
          </w:p>
        </w:tc>
        <w:tc>
          <w:tcPr>
            <w:tcW w:w="672" w:type="dxa"/>
            <w:noWrap w:val="0"/>
            <w:tcMar>
              <w:top w:w="28" w:type="dxa"/>
              <w:bottom w:w="28" w:type="dxa"/>
            </w:tcMar>
            <w:vAlign w:val="center"/>
          </w:tcPr>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00" w:lineRule="exact"/>
              <w:jc w:val="left"/>
              <w:rPr>
                <w:rFonts w:ascii="Times New Roman" w:hAnsi="Times New Roman" w:eastAsia="仿宋_GB2312"/>
                <w:sz w:val="24"/>
              </w:rPr>
            </w:pPr>
            <w:r>
              <w:rPr>
                <w:rFonts w:ascii="Times New Roman" w:hAnsi="Times New Roman" w:eastAsia="仿宋_GB2312"/>
                <w:sz w:val="24"/>
              </w:rPr>
              <w:t>《安全生产违法行为行政处罚办法》（2007年国家安全监管总局令第15号，2015年修正）第五十条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应急局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top"/>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5"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37</w:t>
            </w:r>
          </w:p>
        </w:tc>
        <w:tc>
          <w:tcPr>
            <w:tcW w:w="2408" w:type="dxa"/>
            <w:noWrap w:val="0"/>
            <w:tcMar>
              <w:top w:w="28" w:type="dxa"/>
              <w:bottom w:w="28" w:type="dxa"/>
            </w:tcMar>
            <w:vAlign w:val="center"/>
          </w:tcPr>
          <w:p>
            <w:pPr>
              <w:topLinePunct/>
              <w:adjustRightInd w:val="0"/>
              <w:snapToGrid w:val="0"/>
              <w:spacing w:line="300" w:lineRule="exact"/>
              <w:rPr>
                <w:rFonts w:ascii="Times New Roman" w:hAnsi="Times New Roman" w:eastAsia="仿宋_GB2312"/>
                <w:sz w:val="24"/>
              </w:rPr>
            </w:pPr>
            <w:r>
              <w:rPr>
                <w:rFonts w:ascii="Times New Roman" w:hAnsi="Times New Roman" w:eastAsia="仿宋_GB2312"/>
                <w:sz w:val="24"/>
              </w:rPr>
              <w:t>对生产、经营、储存、使用危险物品的车间、商店、仓库与员工宿舍在同一座建筑内，或者与员工宿舍的</w:t>
            </w:r>
            <w:r>
              <w:rPr>
                <w:rFonts w:ascii="Times New Roman" w:hAnsi="Times New Roman" w:eastAsia="仿宋_GB2312"/>
                <w:spacing w:val="6"/>
                <w:sz w:val="24"/>
              </w:rPr>
              <w:t>距离不符合安全要求的行为的处罚</w:t>
            </w:r>
          </w:p>
        </w:tc>
        <w:tc>
          <w:tcPr>
            <w:tcW w:w="672" w:type="dxa"/>
            <w:noWrap w:val="0"/>
            <w:tcMar>
              <w:top w:w="28" w:type="dxa"/>
              <w:bottom w:w="28" w:type="dxa"/>
            </w:tcMar>
            <w:vAlign w:val="center"/>
          </w:tcPr>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00" w:lineRule="exact"/>
              <w:jc w:val="left"/>
              <w:rPr>
                <w:rFonts w:ascii="Times New Roman" w:hAnsi="Times New Roman" w:eastAsia="仿宋_GB2312"/>
                <w:sz w:val="24"/>
              </w:rPr>
            </w:pPr>
            <w:r>
              <w:rPr>
                <w:rFonts w:ascii="Times New Roman" w:hAnsi="Times New Roman" w:eastAsia="仿宋_GB2312"/>
                <w:sz w:val="24"/>
              </w:rPr>
              <w:t>《中华人民共和国安全生产法》第一百零五条第一款第一项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应急局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38</w:t>
            </w:r>
          </w:p>
        </w:tc>
        <w:tc>
          <w:tcPr>
            <w:tcW w:w="2408" w:type="dxa"/>
            <w:noWrap w:val="0"/>
            <w:tcMar>
              <w:top w:w="28" w:type="dxa"/>
              <w:bottom w:w="28" w:type="dxa"/>
            </w:tcMar>
            <w:vAlign w:val="center"/>
          </w:tcPr>
          <w:p>
            <w:pPr>
              <w:topLinePunct/>
              <w:adjustRightInd w:val="0"/>
              <w:snapToGrid w:val="0"/>
              <w:spacing w:line="300" w:lineRule="exact"/>
              <w:rPr>
                <w:rFonts w:ascii="Times New Roman" w:hAnsi="Times New Roman" w:eastAsia="仿宋_GB2312"/>
                <w:sz w:val="24"/>
              </w:rPr>
            </w:pPr>
            <w:r>
              <w:rPr>
                <w:rFonts w:ascii="Times New Roman" w:hAnsi="Times New Roman" w:eastAsia="仿宋_GB2312"/>
                <w:sz w:val="24"/>
              </w:rPr>
              <w:t>对</w:t>
            </w:r>
            <w:r>
              <w:rPr>
                <w:rFonts w:ascii="Times New Roman" w:hAnsi="Times New Roman" w:eastAsia="仿宋_GB2312"/>
                <w:spacing w:val="-6"/>
                <w:sz w:val="24"/>
              </w:rPr>
              <w:t>生产经营场所和员工宿舍未设有符合紧急疏散需要、标志明显、保持畅通的出口、疏散通道，或者占用、锁闭、封堵生产经营场所或者员工宿舍出口、疏散通道的行</w:t>
            </w:r>
            <w:r>
              <w:rPr>
                <w:rFonts w:ascii="Times New Roman" w:hAnsi="Times New Roman" w:eastAsia="仿宋_GB2312"/>
                <w:sz w:val="24"/>
              </w:rPr>
              <w:t>为的处罚</w:t>
            </w:r>
          </w:p>
        </w:tc>
        <w:tc>
          <w:tcPr>
            <w:tcW w:w="672" w:type="dxa"/>
            <w:noWrap w:val="0"/>
            <w:tcMar>
              <w:top w:w="28" w:type="dxa"/>
              <w:bottom w:w="28" w:type="dxa"/>
            </w:tcMar>
            <w:vAlign w:val="center"/>
          </w:tcPr>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spacing w:line="300" w:lineRule="exact"/>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00" w:lineRule="exact"/>
              <w:jc w:val="left"/>
              <w:rPr>
                <w:rFonts w:ascii="Times New Roman" w:hAnsi="Times New Roman" w:eastAsia="仿宋_GB2312"/>
                <w:sz w:val="24"/>
              </w:rPr>
            </w:pPr>
            <w:r>
              <w:rPr>
                <w:rFonts w:ascii="Times New Roman" w:hAnsi="Times New Roman" w:eastAsia="仿宋_GB2312"/>
                <w:sz w:val="24"/>
              </w:rPr>
              <w:t>《中华人民共和国安全生产法》第一百零五条第一款第二项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应急局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0"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39</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对工贸企业未在有限空间作业场所设置明显的安全警示标志的、未按规定为作业人员提供符合国家标准或者行业标准的劳动防护用品的行为的处罚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rPr>
                <w:rFonts w:ascii="Times New Roman" w:hAnsi="Times New Roman" w:eastAsia="仿宋_GB2312"/>
                <w:sz w:val="24"/>
              </w:rPr>
            </w:pPr>
            <w:r>
              <w:rPr>
                <w:rFonts w:ascii="Times New Roman" w:hAnsi="Times New Roman" w:eastAsia="仿宋_GB2312"/>
                <w:sz w:val="24"/>
              </w:rPr>
              <w:t>《中华人民共和国安全生产法》第九十九条第一款第一项、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五）未为从业人员提供符合国家标准或者行业标准的劳动防护用品的。</w:t>
            </w:r>
          </w:p>
          <w:p>
            <w:pPr>
              <w:topLinePunct/>
              <w:adjustRightInd w:val="0"/>
              <w:snapToGrid w:val="0"/>
              <w:spacing w:line="270" w:lineRule="exact"/>
              <w:ind w:firstLine="480" w:firstLineChars="200"/>
              <w:rPr>
                <w:rFonts w:ascii="Times New Roman" w:hAnsi="Times New Roman" w:eastAsia="仿宋_GB2312"/>
                <w:sz w:val="24"/>
              </w:rPr>
            </w:pPr>
            <w:r>
              <w:rPr>
                <w:rFonts w:ascii="Times New Roman" w:hAnsi="Times New Roman" w:eastAsia="仿宋_GB2312"/>
                <w:sz w:val="24"/>
              </w:rPr>
              <w:t>《工贸企业有限空间作业安全管理与监督暂行规定》（2013年国家安全监管总局令第59号，2015年修正）第二十八条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应急局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4"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40</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对违反规定进行开垦、采石、采砂、采土或者其他活动，造成林木、林地毁坏，以及在幼林地砍柴、毁苗、放牧造成林木毁坏的行为的处罚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《中华人民共和国森林法》第七十四条第一款、第二款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topLinePunct/>
              <w:adjustRightInd w:val="0"/>
              <w:snapToGrid w:val="0"/>
              <w:spacing w:line="270" w:lineRule="exact"/>
              <w:ind w:firstLine="480" w:firstLineChars="200"/>
              <w:jc w:val="left"/>
              <w:rPr>
                <w:rFonts w:ascii="Times New Roman" w:hAnsi="Times New Roman" w:eastAsia="仿宋_GB2312"/>
                <w:sz w:val="24"/>
              </w:rPr>
            </w:pPr>
            <w:r>
              <w:rPr>
                <w:rFonts w:ascii="Times New Roman" w:hAnsi="Times New Roman" w:eastAsia="仿宋_GB2312"/>
                <w:sz w:val="24"/>
              </w:rPr>
              <w:t>违反本法规定，在幼林地砍柴、毁苗、放牧造成林木毁坏的，由县级以上人民政府林业主管部门责令停止违法行为，限期在原地或者异地补种毁坏株数一倍以上三倍以下的树木。</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2"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对盗伐、滥伐林木的行为的处罚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60" w:lineRule="exact"/>
              <w:ind w:firstLine="436" w:firstLineChars="200"/>
              <w:rPr>
                <w:rFonts w:ascii="Times New Roman" w:hAnsi="Times New Roman" w:eastAsia="仿宋_GB2312"/>
                <w:spacing w:val="-6"/>
                <w:sz w:val="23"/>
                <w:szCs w:val="23"/>
              </w:rPr>
            </w:pPr>
            <w:r>
              <w:rPr>
                <w:rFonts w:ascii="Times New Roman" w:hAnsi="Times New Roman" w:eastAsia="仿宋_GB2312"/>
                <w:spacing w:val="-6"/>
                <w:sz w:val="23"/>
                <w:szCs w:val="23"/>
              </w:rPr>
              <w:t>《中华人民共和国森林法》第七十六条  盗伐林木的，由县级以上人民政府林业主管部门责令限期在原地或者异地补种盗伐株数一倍以上五倍以下的树木，并处盗伐林木价值五倍以上十倍以下的罚款。</w:t>
            </w:r>
          </w:p>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滥伐林木的，由县级以上人民政府林业主管部门责令限期在原地或者异地补种滥伐株数一倍以上三倍以下的树木，可以处滥伐林木价值三倍以上五倍以下的罚款。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408" w:type="dxa"/>
            <w:noWrap w:val="0"/>
            <w:tcMar>
              <w:top w:w="28" w:type="dxa"/>
              <w:bottom w:w="28" w:type="dxa"/>
            </w:tcMar>
            <w:vAlign w:val="center"/>
          </w:tcPr>
          <w:p>
            <w:pPr>
              <w:topLinePunct/>
              <w:adjustRightInd w:val="0"/>
              <w:snapToGrid w:val="0"/>
              <w:spacing w:line="240" w:lineRule="exact"/>
              <w:rPr>
                <w:rFonts w:ascii="Times New Roman" w:hAnsi="Times New Roman" w:eastAsia="仿宋_GB2312"/>
                <w:sz w:val="24"/>
              </w:rPr>
            </w:pPr>
            <w:r>
              <w:rPr>
                <w:rFonts w:ascii="Times New Roman" w:hAnsi="Times New Roman" w:eastAsia="仿宋_GB2312"/>
                <w:sz w:val="24"/>
              </w:rPr>
              <w:t>对违反规定收购、加工、运输明知是盗伐、滥伐等非法来源木材的行为的处罚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6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1"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43</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对违反规定采挖植物，采土、采砂、采石，开展经营性旅游活动破坏草原等行为的处罚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《中华人民共和国草原法》第六十七条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第六十九条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44</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对未持有合法来源证明出售、利用、运输非国家重点保护野生动物的行为的处罚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《中华人民共和国野生动物保护法》第二十七条第四款 出售、利用非国家重点保护野生动物的，应当提供狩猎、进出口等合法来源证明。</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第三十三条第二款</w:t>
            </w:r>
            <w:r>
              <w:rPr>
                <w:rFonts w:hint="eastAsia" w:ascii="Times New Roman" w:hAnsi="Times New Roman" w:eastAsia="仿宋_GB2312"/>
                <w:sz w:val="24"/>
              </w:rPr>
              <w:t xml:space="preserve"> </w:t>
            </w:r>
            <w:r>
              <w:rPr>
                <w:rFonts w:ascii="Times New Roman" w:hAnsi="Times New Roman" w:eastAsia="仿宋_GB2312"/>
                <w:sz w:val="24"/>
              </w:rPr>
              <w:t xml:space="preserve"> 运输非国家重点保护野生动物出县境的，应当持有狩猎、进出口等合法来源证明，以及检疫证明。</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 xml:space="preserve">第四十八条第二款 </w:t>
            </w:r>
            <w:r>
              <w:rPr>
                <w:rFonts w:hint="eastAsia" w:ascii="Times New Roman" w:hAnsi="Times New Roman" w:eastAsia="仿宋_GB2312"/>
                <w:sz w:val="24"/>
              </w:rPr>
              <w:t xml:space="preserve"> </w:t>
            </w:r>
            <w:r>
              <w:rPr>
                <w:rFonts w:ascii="Times New Roman" w:hAnsi="Times New Roman" w:eastAsia="仿宋_GB2312"/>
                <w:sz w:val="24"/>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7"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w:t>
            </w:r>
            <w:r>
              <w:rPr>
                <w:rFonts w:ascii="Times New Roman" w:hAnsi="Times New Roman" w:eastAsia="仿宋_GB2312"/>
                <w:spacing w:val="-6"/>
                <w:sz w:val="24"/>
              </w:rPr>
              <w:t>违反规定采集、出售、收购国家重点保护野生植物的行为的处罚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《中华人民共和国野生植物保护条例》（国务院令第204号）第二十三条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pPr>
              <w:topLinePunct/>
              <w:adjustRightInd w:val="0"/>
              <w:snapToGrid w:val="0"/>
              <w:spacing w:line="360" w:lineRule="exact"/>
              <w:ind w:firstLine="480" w:firstLineChars="200"/>
              <w:jc w:val="left"/>
              <w:rPr>
                <w:rFonts w:ascii="Times New Roman" w:hAnsi="Times New Roman" w:eastAsia="仿宋_GB2312"/>
                <w:sz w:val="24"/>
              </w:rPr>
            </w:pPr>
            <w:r>
              <w:rPr>
                <w:rFonts w:ascii="Times New Roman" w:hAnsi="Times New Roman" w:eastAsia="仿宋_GB2312"/>
                <w:sz w:val="24"/>
              </w:rPr>
              <w:t>第</w:t>
            </w:r>
            <w:r>
              <w:rPr>
                <w:rFonts w:ascii="Times New Roman" w:hAnsi="Times New Roman" w:eastAsia="仿宋_GB2312"/>
                <w:spacing w:val="6"/>
                <w:sz w:val="24"/>
              </w:rPr>
              <w:t>二十四条  违反本条例规定，出售、收购国家重点保护野生植物的，由工商行政管理部门或者野生植物行政主管部门按照职责分工没收野生植物和违法所得，可以并处违法所得10倍以下的</w:t>
            </w:r>
            <w:r>
              <w:rPr>
                <w:rFonts w:ascii="Times New Roman" w:hAnsi="Times New Roman" w:eastAsia="仿宋_GB2312"/>
                <w:spacing w:val="-4"/>
                <w:sz w:val="24"/>
              </w:rPr>
              <w:t>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46</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对本辖区违反规定野外用火的行为的处罚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《山西省人民代表大会常务委员会关于禁止野外用火的决定》 （2020年5月15日山西省第十三届人民代表大会常务委员会第十八次会议通过） 第十四条 第一款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47</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pacing w:val="4"/>
                <w:sz w:val="24"/>
              </w:rPr>
            </w:pPr>
            <w:r>
              <w:rPr>
                <w:rFonts w:ascii="Times New Roman" w:hAnsi="Times New Roman" w:eastAsia="仿宋_GB2312"/>
                <w:spacing w:val="4"/>
                <w:sz w:val="24"/>
              </w:rPr>
              <w:t>对弄虚作假、虚报冒领补助资金的行为的处罚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340" w:lineRule="exact"/>
              <w:ind w:firstLine="480" w:firstLineChars="200"/>
              <w:jc w:val="left"/>
              <w:rPr>
                <w:rFonts w:ascii="Times New Roman" w:hAnsi="Times New Roman" w:eastAsia="仿宋_GB2312"/>
                <w:sz w:val="24"/>
              </w:rPr>
            </w:pPr>
            <w:r>
              <w:rPr>
                <w:rFonts w:ascii="Times New Roman" w:hAnsi="Times New Roman" w:eastAsia="仿宋_GB2312"/>
                <w:sz w:val="24"/>
              </w:rPr>
              <w:t>《退耕还林条例》（国务院令第367号）第五十七条第一款第二项、第二款 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w:t>
            </w:r>
          </w:p>
          <w:p>
            <w:pPr>
              <w:topLinePunct/>
              <w:adjustRightInd w:val="0"/>
              <w:snapToGrid w:val="0"/>
              <w:spacing w:line="340" w:lineRule="exact"/>
              <w:ind w:firstLine="480" w:firstLineChars="200"/>
              <w:jc w:val="left"/>
              <w:rPr>
                <w:rFonts w:ascii="Times New Roman" w:hAnsi="Times New Roman" w:eastAsia="仿宋_GB2312"/>
                <w:sz w:val="24"/>
              </w:rPr>
            </w:pPr>
            <w:r>
              <w:rPr>
                <w:rFonts w:ascii="Times New Roman" w:hAnsi="Times New Roman" w:eastAsia="仿宋_GB2312"/>
                <w:sz w:val="24"/>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48</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对违反规定拒绝接受森林防火检查或者接到森林火灾隐患整改通知书逾期不消除火灾隐患的行为的处罚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《森林防火条例》（国务院令第541号）第四十九条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6"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49</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对违反规定擅自在森林防火区内野外用火的行为的处罚</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《森林防火条例》（国务院令第541号）第五十条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林业局</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8"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50</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对在文物建筑保护范围内吸烟、燃放烟花爆竹、点放孔明灯等使用明火</w:t>
            </w:r>
            <w:r>
              <w:rPr>
                <w:rFonts w:ascii="Times New Roman" w:hAnsi="Times New Roman" w:eastAsia="仿宋_GB2312"/>
                <w:spacing w:val="6"/>
                <w:sz w:val="24"/>
              </w:rPr>
              <w:t>行为的处罚（依法适用简易程序的）</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《中华人民共和国消防法》第六十三条  违反本法规定，有下列行为之一的，处警告或者五百元以下罚款；情节严重的，处五日以下拘留：（一）违反消防安全规定进入生产、储存易燃易爆危险品场所的；（二）违反规定使用明火作业或者在具有火灾、爆炸危险的场所吸烟、使用明火的。</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《山西省文物建筑消防安全管理规定》（省政府令第281号） 第二十四条第一款 在文物建筑保护范围内禁止吸烟、燃放烟花爆竹、点放孔明灯等使用明火行为。确需用火的，应当符合文物建筑消防安全管理行业标准的规定。</w:t>
            </w:r>
          </w:p>
          <w:p>
            <w:pPr>
              <w:topLinePunct/>
              <w:adjustRightInd w:val="0"/>
              <w:snapToGrid w:val="0"/>
              <w:ind w:firstLine="480" w:firstLineChars="200"/>
              <w:jc w:val="left"/>
              <w:rPr>
                <w:rFonts w:ascii="Times New Roman" w:hAnsi="Times New Roman" w:eastAsia="仿宋_GB2312"/>
                <w:sz w:val="24"/>
              </w:rPr>
            </w:pPr>
            <w:r>
              <w:rPr>
                <w:rFonts w:ascii="Times New Roman" w:hAnsi="Times New Roman" w:eastAsia="仿宋_GB2312"/>
                <w:sz w:val="24"/>
              </w:rPr>
              <w:t>第三十四条 违反本规定的行为，法律、法规已经规定法律责任的，从其规定。</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消防救援</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大队</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3"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51</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对埋压、圈占、遮挡消火栓、消防水泵接合器，占用、堵塞、封闭消防取水码头、消防水鹤等公共消防设施的行为的处罚（依法适用简易程序的）</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5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《中华人民共和国消防法》第六十条第一款第四项  单位违反本法规定，有下列行为之一的，责令改正，处五千元以上五万元以下罚款：（四）埋压、圈占、遮挡消火栓或者占用防火间距的。</w:t>
            </w:r>
          </w:p>
          <w:p>
            <w:pPr>
              <w:topLinePunct/>
              <w:adjustRightInd w:val="0"/>
              <w:snapToGrid w:val="0"/>
              <w:spacing w:line="250" w:lineRule="exact"/>
              <w:ind w:firstLine="460" w:firstLineChars="200"/>
              <w:jc w:val="left"/>
              <w:rPr>
                <w:rFonts w:hint="eastAsia" w:ascii="Times New Roman" w:hAnsi="Times New Roman" w:eastAsia="仿宋_GB2312"/>
                <w:sz w:val="23"/>
                <w:szCs w:val="23"/>
              </w:rPr>
            </w:pPr>
            <w:r>
              <w:rPr>
                <w:rFonts w:ascii="Times New Roman" w:hAnsi="Times New Roman" w:eastAsia="仿宋_GB2312"/>
                <w:sz w:val="23"/>
                <w:szCs w:val="23"/>
              </w:rPr>
              <w:t>个人有前款第二项、第三项、第四项、第五项行为之一的，处警告或者五百元以下罚款。</w:t>
            </w:r>
          </w:p>
          <w:p>
            <w:pPr>
              <w:topLinePunct/>
              <w:adjustRightInd w:val="0"/>
              <w:snapToGrid w:val="0"/>
              <w:spacing w:line="25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《山西省消防条例》第十八条 任何单位和个人不得埋压、圈占、遮挡消防水泵接合器，不得占用、堵塞、封闭消防取水码头、消防水鹤等公共消防设施。</w:t>
            </w:r>
          </w:p>
          <w:p>
            <w:pPr>
              <w:topLinePunct/>
              <w:adjustRightInd w:val="0"/>
              <w:snapToGrid w:val="0"/>
              <w:spacing w:line="25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第四十四条  违反本条例第十八条规定的，由消防救援机构责令改正，对单位并处五千元以上五万元以下罚款；对个人处警告或者五百元以下罚款。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消防救援</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大队</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4"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52</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对占用、堵塞、封闭消防车通道，妨碍消防车通行的行为的处罚（依法适用简易程序的）</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50" w:lineRule="exact"/>
              <w:ind w:firstLine="444" w:firstLineChars="200"/>
              <w:jc w:val="left"/>
              <w:rPr>
                <w:rFonts w:ascii="Times New Roman" w:hAnsi="Times New Roman" w:eastAsia="仿宋_GB2312"/>
                <w:spacing w:val="-4"/>
                <w:sz w:val="23"/>
                <w:szCs w:val="23"/>
              </w:rPr>
            </w:pPr>
            <w:r>
              <w:rPr>
                <w:rFonts w:ascii="Times New Roman" w:hAnsi="Times New Roman" w:eastAsia="仿宋_GB2312"/>
                <w:spacing w:val="-4"/>
                <w:sz w:val="23"/>
                <w:szCs w:val="23"/>
              </w:rPr>
              <w:t>《中华人民共和国消防法》第六十条第一款第五项、第二款  单位违反本法规定，有下列行为之一的，责令改正，处五千元以上五万元以下罚款：（五）占用、堵塞、封闭消防车通道，妨碍消防车通行的。</w:t>
            </w:r>
          </w:p>
          <w:p>
            <w:pPr>
              <w:topLinePunct/>
              <w:adjustRightInd w:val="0"/>
              <w:snapToGrid w:val="0"/>
              <w:spacing w:line="25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个人有前款第二项、第三项、第四项、第五项行为之一的，处警告或者五百元以下罚款。</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消防救援</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大队</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9" w:hRule="atLeast"/>
          <w:jc w:val="center"/>
        </w:trPr>
        <w:tc>
          <w:tcPr>
            <w:tcW w:w="638"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53</w:t>
            </w:r>
          </w:p>
        </w:tc>
        <w:tc>
          <w:tcPr>
            <w:tcW w:w="2408" w:type="dxa"/>
            <w:noWrap w:val="0"/>
            <w:tcMar>
              <w:top w:w="28" w:type="dxa"/>
              <w:bottom w:w="28" w:type="dxa"/>
            </w:tcMar>
            <w:vAlign w:val="center"/>
          </w:tcPr>
          <w:p>
            <w:pPr>
              <w:topLinePunct/>
              <w:adjustRightInd w:val="0"/>
              <w:snapToGrid w:val="0"/>
              <w:rPr>
                <w:rFonts w:ascii="Times New Roman" w:hAnsi="Times New Roman" w:eastAsia="仿宋_GB2312"/>
                <w:sz w:val="24"/>
              </w:rPr>
            </w:pPr>
            <w:r>
              <w:rPr>
                <w:rFonts w:ascii="Times New Roman" w:hAnsi="Times New Roman" w:eastAsia="仿宋_GB2312"/>
                <w:sz w:val="24"/>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672"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行政</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处罚</w:t>
            </w:r>
          </w:p>
        </w:tc>
        <w:tc>
          <w:tcPr>
            <w:tcW w:w="6957" w:type="dxa"/>
            <w:noWrap w:val="0"/>
            <w:tcMar>
              <w:top w:w="28" w:type="dxa"/>
              <w:bottom w:w="28" w:type="dxa"/>
            </w:tcMar>
            <w:vAlign w:val="center"/>
          </w:tcPr>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《中华人民共和国消防法》第六十条第一款第三项、第二款  单位违反本法规定，有下列行为之一的，责令改正，处五千元以上五万元以下罚款：（三）占用、堵塞、封闭疏散通道、安全出口或者有其他妨碍安全疏散行为的。</w:t>
            </w:r>
          </w:p>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个人有前款第二项、第三项、第四项、第五项行为之一的，处警告或者五百元以下罚款。</w:t>
            </w:r>
          </w:p>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《高层民用建筑消防安全管理规定》第三十七条第一款  禁止在高层民用建筑公共门厅、疏散走道、楼梯间、安全出口停放电动自行车或者为电动自行车充电。</w:t>
            </w:r>
          </w:p>
          <w:p>
            <w:pPr>
              <w:topLinePunct/>
              <w:adjustRightInd w:val="0"/>
              <w:snapToGrid w:val="0"/>
              <w:spacing w:line="240" w:lineRule="exact"/>
              <w:ind w:firstLine="460" w:firstLineChars="200"/>
              <w:jc w:val="left"/>
              <w:rPr>
                <w:rFonts w:ascii="Times New Roman" w:hAnsi="Times New Roman" w:eastAsia="仿宋_GB2312"/>
                <w:sz w:val="23"/>
                <w:szCs w:val="23"/>
              </w:rPr>
            </w:pPr>
            <w:r>
              <w:rPr>
                <w:rFonts w:ascii="Times New Roman" w:hAnsi="Times New Roman" w:eastAsia="仿宋_GB2312"/>
                <w:sz w:val="23"/>
                <w:szCs w:val="23"/>
              </w:rPr>
              <w:t>第四十七条第一款第七项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c>
          <w:tcPr>
            <w:tcW w:w="1203"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消防救援</w:t>
            </w:r>
          </w:p>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大队</w:t>
            </w:r>
          </w:p>
        </w:tc>
        <w:tc>
          <w:tcPr>
            <w:tcW w:w="111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r>
              <w:rPr>
                <w:rFonts w:ascii="Times New Roman" w:hAnsi="Times New Roman" w:eastAsia="仿宋_GB2312"/>
                <w:sz w:val="24"/>
              </w:rPr>
              <w:t>乡镇政府</w:t>
            </w:r>
          </w:p>
        </w:tc>
        <w:tc>
          <w:tcPr>
            <w:tcW w:w="720" w:type="dxa"/>
            <w:noWrap w:val="0"/>
            <w:tcMar>
              <w:top w:w="28" w:type="dxa"/>
              <w:bottom w:w="28" w:type="dxa"/>
            </w:tcMar>
            <w:vAlign w:val="center"/>
          </w:tcPr>
          <w:p>
            <w:pPr>
              <w:topLinePunct/>
              <w:adjustRightInd w:val="0"/>
              <w:snapToGrid w:val="0"/>
              <w:jc w:val="center"/>
              <w:rPr>
                <w:rFonts w:ascii="Times New Roman" w:hAnsi="Times New Roman" w:eastAsia="仿宋_GB2312"/>
                <w:sz w:val="24"/>
              </w:rPr>
            </w:pPr>
          </w:p>
        </w:tc>
      </w:tr>
    </w:tbl>
    <w:p>
      <w:pPr>
        <w:pStyle w:val="8"/>
        <w:widowControl w:val="0"/>
        <w:topLinePunct/>
        <w:spacing w:line="20" w:lineRule="exact"/>
        <w:jc w:val="center"/>
        <w:sectPr>
          <w:headerReference r:id="rId7" w:type="default"/>
          <w:footerReference r:id="rId8" w:type="default"/>
          <w:pgSz w:w="16838" w:h="11906" w:orient="landscape"/>
          <w:pgMar w:top="1814" w:right="1531" w:bottom="1644" w:left="1531" w:header="851" w:footer="1418"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x="1105" w:y="9253"/>
      <w:rPr>
        <w:rStyle w:val="7"/>
        <w:rFonts w:hint="eastAsia"/>
        <w:sz w:val="28"/>
        <w:szCs w:val="28"/>
      </w:rPr>
    </w:pPr>
    <w:r>
      <w:rPr>
        <w:rStyle w:val="7"/>
        <w:rFonts w:hint="eastAsia"/>
        <w:sz w:val="28"/>
        <w:szCs w:val="28"/>
      </w:rPr>
      <w:t>－</w:t>
    </w: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9</w:t>
    </w:r>
    <w:r>
      <w:rPr>
        <w:rStyle w:val="7"/>
        <w:rFonts w:ascii="Times New Roman" w:hAnsi="Times New Roman"/>
        <w:sz w:val="28"/>
        <w:szCs w:val="28"/>
      </w:rPr>
      <w:fldChar w:fldCharType="end"/>
    </w:r>
    <w:r>
      <w:rPr>
        <w:rStyle w:val="7"/>
        <w:rFonts w:hint="eastAsia"/>
        <w:sz w:val="28"/>
        <w:szCs w:val="28"/>
      </w:rPr>
      <w:t xml:space="preserve"> －</w:t>
    </w:r>
  </w:p>
  <w:p>
    <w:pPr>
      <w:pStyle w:val="3"/>
      <w:ind w:right="360" w:firstLine="360"/>
      <w:rPr>
        <w:szCs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x="1093" w:y="9145"/>
      <w:rPr>
        <w:rStyle w:val="7"/>
        <w:rFonts w:hint="eastAsia"/>
        <w:sz w:val="28"/>
        <w:szCs w:val="28"/>
      </w:rPr>
    </w:pPr>
    <w:r>
      <w:rPr>
        <w:rStyle w:val="7"/>
        <w:rFonts w:hint="eastAsia"/>
        <w:sz w:val="28"/>
        <w:szCs w:val="28"/>
      </w:rPr>
      <w:t>－</w:t>
    </w: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31</w:t>
    </w:r>
    <w:r>
      <w:rPr>
        <w:rStyle w:val="7"/>
        <w:rFonts w:ascii="Times New Roman" w:hAnsi="Times New Roman"/>
        <w:sz w:val="28"/>
        <w:szCs w:val="28"/>
      </w:rPr>
      <w:fldChar w:fldCharType="end"/>
    </w:r>
    <w:r>
      <w:rPr>
        <w:rStyle w:val="7"/>
        <w:rFonts w:hint="eastAsia"/>
        <w:sz w:val="28"/>
        <w:szCs w:val="28"/>
      </w:rPr>
      <w:t xml:space="preserve"> －</w:t>
    </w:r>
  </w:p>
  <w:p>
    <w:pPr>
      <w:pStyle w:val="3"/>
      <w:ind w:right="360" w:firstLine="360"/>
      <w:rPr>
        <w:szCs w:val="4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page" w:hAnchor="page" w:x="1111" w:y="1846"/>
      <w:rPr>
        <w:rStyle w:val="7"/>
        <w:rFonts w:hint="eastAsia"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32</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GFkYmNmY2I0MjQ4NWMzZTk3OGJlODEwNWQ4NjgifQ=="/>
  </w:docVars>
  <w:rsids>
    <w:rsidRoot w:val="00000000"/>
    <w:rsid w:val="5D96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p0"/>
    <w:basedOn w:val="1"/>
    <w:qFormat/>
    <w:uiPriority w:val="0"/>
    <w:pPr>
      <w:widowControl/>
    </w:pPr>
    <w:rPr>
      <w:rFonts w:ascii="Times New Roman" w:hAnsi="Times New Roman"/>
      <w:kern w:val="0"/>
      <w:sz w:val="32"/>
      <w:szCs w:val="32"/>
    </w:rPr>
  </w:style>
  <w:style w:type="paragraph" w:customStyle="1" w:styleId="9">
    <w:name w:val="Body Text First Indent"/>
    <w:basedOn w:val="2"/>
    <w:next w:val="1"/>
    <w:qFormat/>
    <w:uiPriority w:val="0"/>
    <w:pPr>
      <w:spacing w:after="140" w:line="276" w:lineRule="auto"/>
      <w:ind w:firstLine="42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2023-11-08T07:28:55Z</dcterms:created>
  <dc:creator>Administrator</dc:creator>
  <cp:lastModifiedBy>中中</cp:lastModifiedBy>
  <dcterms:modified xsi:type="dcterms:W3CDTF">2023-11-08T07:29:37Z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54F59A3A0D474C168D18486C01ABA2D0_12</vt:lpwstr>
  </property>
</Properties>
</file>