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万荣县林业局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(局本级)</w:t>
      </w:r>
    </w:p>
    <w:p>
      <w:pPr>
        <w:jc w:val="center"/>
        <w:rPr>
          <w:rFonts w:hint="eastAsia" w:ascii="黑体" w:hAnsi="黑体" w:eastAsia="黑体"/>
          <w:spacing w:val="-20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202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年部门整体支出绩效自评报告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1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万荣县林业局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spacing w:line="11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单位负责人：   </w:t>
      </w:r>
    </w:p>
    <w:p>
      <w:pPr>
        <w:spacing w:line="11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评价人员：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年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月</w:t>
      </w:r>
    </w:p>
    <w:p>
      <w:pPr>
        <w:pStyle w:val="7"/>
        <w:spacing w:before="0" w:beforeAutospacing="0" w:after="0" w:afterAutospacing="0" w:line="578" w:lineRule="atLeas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一、部门基本情况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（一）部门职责及组成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林业局为行政单位，政府组成部门，正科级建制，一级预算单位。内设科室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：办公室、规划和造林股、林政资源管理股、行政审批股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主要职责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(1)拟定全县林业生态环境建设，林业资源保护和国土绿化的相关规划。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(2)拟定全县林业发展战略、中长期发展规划并组织实施;管理全县林业资金；监督林业资金的管理和使用。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(3)组织开展植树造林、退耕还林、天然林保护和封山育林工作；组织、指导以植树种草等生物措施防止水土流失和防沙、治沙工程；指导国有林场、苗圃、森林公园及基层林业工作的建设和管理。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(4)组织指导全县林业资源的管理；管理全县国有林区的国有林业资源；组织全县林业资源调查、动态检测和统计；审核并监督林业资源的使用；组织编制全县林业采伐限额，经上级部门批准后，监督执行；监督全县林木的凭证、采伐与运输；组织、指导全县林地、林权管理并依法对林地征用、占用进行初审和审核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(5)组织、指导全县陆生野生动物资源的保护和合理开发利用；在国家自然保护区的区划、规划原则的指导下，指导全县森林和陆生野生动物类型自然保护区的建设和管理；负责全县林地保护工作；负责濒危物种和国家保护的野生动物、珍稀树种、珍惜野生植物及其产品出口的申报工作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(6)协调、指导、监督全县林业防火工作；组织指导全县林业病虫鼠害的防治防疫。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(7)研究提出全县林业发展的经济调节意见；监管国有林业资源；审批、报批全县重点林业建设项目。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(8)指导各类商品林（包括用材林、经济林、薪炭林、药用林、竹林、特种用途林）和风景林的培育。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(9)组织、指导全县林业科技、教育个外事工作；指导全县林业队伍建设。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(10)承担县人民政府交办的其他事项。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（二）人员结构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局本级公务员编制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人，实有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人，实有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工勤编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人；（三）车辆情况</w:t>
      </w:r>
    </w:p>
    <w:p>
      <w:pPr>
        <w:shd w:val="clear" w:color="auto" w:fill="FFFFFF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森林公安执法执勤车一辆,森林防火运兵车一辆，森林消防运水车一辆。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部门整体支出绩效目标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围绕省、市造林任务，以“森林城市”创建为引擎，按照“亮点做亮、精品做精、短板提档、整体提升”的要求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抓好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机关干部</w:t>
      </w:r>
      <w:r>
        <w:rPr>
          <w:rFonts w:hint="eastAsia" w:ascii="仿宋" w:hAnsi="仿宋" w:eastAsia="仿宋" w:cs="仿宋"/>
          <w:bCs/>
          <w:sz w:val="32"/>
          <w:szCs w:val="32"/>
        </w:rPr>
        <w:t>党风廉政建设、党史学习教育；做好全县植树造林、退耕还林、天然林保护和封山育林工作工作。发放森林防火经费70万元，做好林业防火隐患排查工作；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二、部门整体支出情况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（一）上年结转情况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2021年万荣县林业局上年结转资金总额853.35万元。</w:t>
      </w:r>
    </w:p>
    <w:tbl>
      <w:tblPr>
        <w:tblStyle w:val="5"/>
        <w:tblW w:w="84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6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以前年度资金小计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8533517.25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2020年中央财政林业草原生态保护恢复资金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92068.28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2020年省级林业改革发展转移支付资金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2020年中央财政林业改革发展资金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2020年森林草原资源培育专项中央基建投资预算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森林城市建设奖补资金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造林补助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森林公安经费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林业局自然保护地整合优化实施费用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林业局2018年林业重点工程资金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沿黄旅游公路二期（第二、三部分）绿化工程设计费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各乡镇通道绿化租地款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1361509.73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林业三支一扶人员补助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森林公安及防火经费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扶贫工作经费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2020年中央财政林业改革发展资金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2020年中央财政第二批林业草原生态保护恢复资金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46,600.00 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收入情况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2021年万荣县林业局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bCs/>
          <w:sz w:val="32"/>
          <w:szCs w:val="32"/>
        </w:rPr>
        <w:t>总额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5142.11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，其中：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bCs/>
          <w:sz w:val="32"/>
          <w:szCs w:val="32"/>
        </w:rPr>
        <w:t>2021年年初部门预算资金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793.99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tbl>
      <w:tblPr>
        <w:tblStyle w:val="5"/>
        <w:tblW w:w="84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基本支出（合计）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2,920,314.84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工资部分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2534463.97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公用经费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385,850.87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年初项目预算小计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5019676.58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偿还林业五期项目本息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251,276.58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森林防火经费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差额人员工资补贴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68,400.00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4,000,000.00 </w:t>
            </w:r>
          </w:p>
        </w:tc>
      </w:tr>
    </w:tbl>
    <w:p>
      <w:pPr>
        <w:numPr>
          <w:ilvl w:val="0"/>
          <w:numId w:val="2"/>
        </w:numPr>
        <w:ind w:left="420" w:leftChars="0" w:firstLineChars="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追加部门预算资金2951.6万元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tbl>
      <w:tblPr>
        <w:tblStyle w:val="5"/>
        <w:tblW w:w="70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1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追加预算小计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29,516,000.00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2021年果博会绿化项目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2021年黄河流域北辛舍利塔荒沟造林工程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311,200.00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2021年万荣与临猗交界处节点绿化工程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2021年沿黄旅游公路二期（第二、三部分）绿化工程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后土祠广场周边绿化提档（二次提升）项目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裴运线南张至薛李段通道绿化工程设计费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舍利塔二期绿化工程设计费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林业局2021年绿化工程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1,858,800.00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2019年绿化工程——三北防护林项目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2020年重点绿化工程—孤峰山彩叶树种造林工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万荣县森林草原火灾综合风险普查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沿黄旅游公路（临猗－万荣）交界立面覆绿工程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康庄、高速引线、李后路、运稷路、209国道、苹果主题公园、生态修复等9项工程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6,916,000.00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黄河湿地鸟类观测台亮化美化项目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2021年秋季强降雨灾后恢复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200,000.00 </w:t>
            </w:r>
          </w:p>
        </w:tc>
      </w:tr>
    </w:tbl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上级专项资金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184.1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tbl>
      <w:tblPr>
        <w:tblStyle w:val="5"/>
        <w:tblW w:w="84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6"/>
        <w:gridCol w:w="4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上级专项资金小计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1,841,000.00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2021年省级林业改革发展项目未成林管护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2021年省级林业改革发展项目古树木保护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2021年中央财政林业改革发展项目天保森林管护费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2021年中央财政林业改革发展项目有害生物防治补助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2021年中央财政林业改革发展项目森林抚育补助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收回2021年预算资金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皇甫至袁家通道绿化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1,386,000.00 </w:t>
            </w:r>
          </w:p>
        </w:tc>
      </w:tr>
    </w:tbl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）调整存量资金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1245.83万元</w:t>
      </w:r>
    </w:p>
    <w:tbl>
      <w:tblPr>
        <w:tblStyle w:val="5"/>
        <w:tblW w:w="85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9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2021年绿化养护工程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765,818.00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2021年沿黄旅游公路二期绿化工程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乡村振兴帮扶保障项目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40,840.00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2019年三北防护林项目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247,500.00 </w:t>
            </w:r>
          </w:p>
        </w:tc>
      </w:tr>
    </w:tbl>
    <w:p>
      <w:pPr>
        <w:numPr>
          <w:ilvl w:val="0"/>
          <w:numId w:val="3"/>
        </w:numPr>
        <w:ind w:left="-11" w:leftChars="0" w:firstLine="641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</w:t>
      </w:r>
      <w:r>
        <w:rPr>
          <w:rFonts w:hint="eastAsia" w:ascii="仿宋" w:hAnsi="仿宋" w:eastAsia="仿宋" w:cs="仿宋"/>
          <w:sz w:val="32"/>
          <w:szCs w:val="32"/>
        </w:rPr>
        <w:t>情况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2021年预算一体化系统支出总金额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5946.80万元</w:t>
      </w:r>
    </w:p>
    <w:tbl>
      <w:tblPr>
        <w:tblStyle w:val="5"/>
        <w:tblW w:w="83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工资部分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2534463.97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385,850.87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偿还林业五期项目本息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251,276.58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差额人员工资补贴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68,400.00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2021年果博会绿化项目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2021年黄河流域北辛舍利塔荒沟造林工程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311,200.00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2021年万荣与临猗交界处节点绿化工程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2021年沿黄旅游公路二期（第二、三部分）绿化工程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后土祠广场周边绿化提档（二次提升）项目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裴运线南张至薛李段通道绿化工程设计费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舍利塔二期绿化工程设计费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林业局2021年绿化工程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1,858,800.00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2019年绿化工程——三北防护林项目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2020年重点绿化工程—孤峰山彩叶树种造林工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万荣县森林草原火灾综合风险普查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沿黄旅游公路（临猗－万荣）交界立面覆绿工程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康庄、高速引线、李后路、运稷路、209国道、苹果主题公园、生态修复等9项工程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6,916,000.00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黄河湿地鸟类观测台亮化美化项目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2021年秋季强降雨灾后恢复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2021年省级林业改革发展项目未成林管护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2021年省级林业改革发展项目古树木保护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2021年中央财政林业改革发展项目天保森林管护费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2021年中央财政林业改革发展项目有害生物防治补助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2021年中央财政林业改革发展项目森林抚育补助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皇甫至袁家通道绿化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1,386,000.00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2021年绿化养护工程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765,818.00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乡村振兴帮扶保障项目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40,839.84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2019年三北防护林项目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2020年中央财政林业草原生态保护恢复资金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39186.96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2020年省级林业改革发展转移支付资金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2020年中央财政林业改革发展资金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2020年森林草原资源培育专项中央基建投资预算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森林城市建设奖补资金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造林补助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21898.97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林业局2018年林业重点工程资金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沿黄旅游公路二期（第二、三部分）绿化工程设计费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各乡镇通道绿化租地款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1,361,509.73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林业三支一扶人员补助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森林公安及防火经费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6,592.17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扶贫工作经费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5,138.07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59467990.16</w:t>
            </w:r>
          </w:p>
        </w:tc>
      </w:tr>
    </w:tbl>
    <w:p>
      <w:pPr>
        <w:numPr>
          <w:ilvl w:val="0"/>
          <w:numId w:val="3"/>
        </w:numPr>
        <w:ind w:left="-11" w:leftChars="0" w:firstLine="641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结余情况：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本年财政拨款收入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5142.11万元，财政拨款支出5142.11万元，本年财政拨款无结转。上年财政拨款结转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853.35万元，支出798.92万元，结余54.43万元上缴财政。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三、部门整体支出绩</w:t>
      </w:r>
      <w:r>
        <w:rPr>
          <w:rFonts w:hint="eastAsia" w:ascii="仿宋" w:hAnsi="仿宋" w:eastAsia="仿宋" w:cs="仿宋"/>
          <w:b/>
          <w:sz w:val="32"/>
          <w:szCs w:val="32"/>
        </w:rPr>
        <w:t>效情况（对各指标计算并用文字进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行绩效分析。其中，指标可量化的用数值描述，不可量化的以定性描述。）</w:t>
      </w:r>
    </w:p>
    <w:p>
      <w:pPr>
        <w:pStyle w:val="7"/>
        <w:numPr>
          <w:ilvl w:val="0"/>
          <w:numId w:val="4"/>
        </w:numPr>
        <w:spacing w:before="0" w:beforeAutospacing="0" w:after="0" w:afterAutospacing="0" w:line="578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预算配置</w:t>
      </w:r>
    </w:p>
    <w:p>
      <w:pPr>
        <w:pStyle w:val="7"/>
        <w:spacing w:before="0" w:beforeAutospacing="0" w:after="0" w:afterAutospacing="0" w:line="48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1、在职人员控制率=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（在职人员数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编制数）×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100%</w:t>
      </w:r>
    </w:p>
    <w:p>
      <w:pPr>
        <w:pStyle w:val="7"/>
        <w:spacing w:before="0" w:beforeAutospacing="0" w:after="0" w:afterAutospacing="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×100%=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83.33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本机关严格控制人员编制，无超编进人现象。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根据评分标准，本单位该项指标得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分。</w:t>
      </w:r>
    </w:p>
    <w:p>
      <w:pPr>
        <w:pStyle w:val="7"/>
        <w:spacing w:before="0" w:beforeAutospacing="0" w:after="0" w:afterAutospacing="0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2、“三公经费”变动率=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[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（本年度“三公经费”总额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-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上年度“三公经费”总额）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上年度“三公经费”总额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]*100%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=0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*100%=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0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“三公经费”：年度预算安排的因公出国（境）费、公务车辆购置及运行费和公务接待费。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本单位预算安排“三公经费”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主要是公务用车运行维护费，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年度预算安排的“三公经费”总额为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与上年相比无变化，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“三公经费”变动率为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根据评分标准，本单位该项指标得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分。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（二）预算执行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1、预算完成率=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[（上年结转+年初预算+本年追加预算-年末余额）/（上年结转+年初预算+本年追加预算）]*100%</w:t>
      </w:r>
    </w:p>
    <w:p>
      <w:pPr>
        <w:pStyle w:val="7"/>
        <w:spacing w:before="0" w:beforeAutospacing="0" w:after="0" w:afterAutospacing="0" w:line="360" w:lineRule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=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[（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872.92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793.8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2951.6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872.92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793.8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2951.6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）]*100%</w:t>
      </w:r>
    </w:p>
    <w:p>
      <w:pPr>
        <w:pStyle w:val="7"/>
        <w:spacing w:before="0" w:beforeAutospacing="0" w:after="0" w:afterAutospacing="0" w:line="360" w:lineRule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=4211.85/4221.52=100%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2、预算控制率=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（本年追加预算/年初预算）*100% 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=2951.6/793.8=371.83%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本单位本年追加预算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2951.6万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元，年初预算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793.8万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元，根据评分标准，本单位该项指标得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分。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“三公经费”控制率=（“三公经费”实际支出数/“三公经费”预算安排数）×100%（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1.49万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元/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元）×100%=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49.67%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本单位本年度公务用车运行维护费支出1.49万元，无其他“三公经费”支出，根据评分标准，本单位该项指标得5分。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公用经费控制率=（实际支出公用经费总额/预算安排公用经费总额）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28.47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31.97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万元）×100%=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89.05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%。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本部门公用经费实际支出未超过年初预算，根据评分标准，本单位该项指标得5分。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政府采购执行率=（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4515.6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4516.6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万元）×100%=100%。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根据评分标准，本单位该项指标得4分。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（三）预算管理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1、资金使用合规性：</w:t>
      </w:r>
      <w:r>
        <w:rPr>
          <w:rFonts w:hint="eastAsia" w:ascii="仿宋" w:hAnsi="仿宋" w:eastAsia="仿宋" w:cs="仿宋"/>
          <w:sz w:val="32"/>
          <w:szCs w:val="32"/>
        </w:rPr>
        <w:t>在资金使用合规性方面，严格执行“三法一条例”及专项资金使用管理办法，严格按程序拨付各项资金。重大项目都进行投资评审、评估论证。严格按部门预算批复使用资金，无截留、挤占、挪用和虚列支出的行为。</w:t>
      </w:r>
    </w:p>
    <w:p>
      <w:pPr>
        <w:pStyle w:val="7"/>
        <w:spacing w:before="0" w:beforeAutospacing="0" w:after="0" w:afterAutospacing="0" w:line="360" w:lineRule="auto"/>
        <w:ind w:left="64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2、预决算信息公开性：</w:t>
      </w:r>
    </w:p>
    <w:p>
      <w:pPr>
        <w:pStyle w:val="7"/>
        <w:spacing w:before="0" w:beforeAutospacing="0" w:after="0" w:afterAutospacing="0" w:line="36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日，我局按照财政部门有关要求，准时在万荣县政府网对20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年部门预算进行了公开。截至202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月底，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决算批复未下达，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年部门决算尚未进行公开。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3、管理制度健全性： 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已制定预算资金管理办法、内部财务管理制度、会计核算制度等管理制度，相关管理制度合法、合规、完整；相关管理制度得到有效执行。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（四）资产管理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1、资产管理完整性：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资产保存完整，账实相符。购置处置严格按程序执行。最大限度发挥资产效益。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2、固定资产利用率：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固定资产账面数为3531739元。固定资产利用率3531739元/3531739元*100%=100%。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（五）职责履行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重点工作实际完成率：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我单位认真落实县委、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政府、人大、相关部门交办或下达的工作任务，按要求完成有关部门下达或交办的事项，实际完成率达到100%。</w:t>
      </w:r>
      <w:bookmarkStart w:id="0" w:name="_GoBack"/>
      <w:bookmarkEnd w:id="0"/>
    </w:p>
    <w:p>
      <w:pPr>
        <w:spacing w:line="650" w:lineRule="exact"/>
        <w:ind w:left="420" w:left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（六）履职效益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社会效益：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年各项工作卓有成效，为推进</w:t>
      </w:r>
      <w:r>
        <w:rPr>
          <w:rFonts w:hint="eastAsia" w:ascii="仿宋_GB2312" w:eastAsia="仿宋_GB2312"/>
          <w:sz w:val="32"/>
          <w:szCs w:val="32"/>
          <w:lang w:eastAsia="zh-CN"/>
        </w:rPr>
        <w:t>全局</w:t>
      </w:r>
      <w:r>
        <w:rPr>
          <w:rFonts w:hint="eastAsia" w:ascii="仿宋_GB2312" w:eastAsia="仿宋_GB2312"/>
          <w:sz w:val="32"/>
          <w:szCs w:val="32"/>
        </w:rPr>
        <w:t>各项任务的顺利完成提供了有力的保证，取得了良好的社会效益</w:t>
      </w:r>
      <w:r>
        <w:rPr>
          <w:rFonts w:hint="eastAsia" w:ascii="仿宋_GB2312" w:eastAsia="仿宋_GB2312"/>
          <w:sz w:val="32"/>
          <w:szCs w:val="32"/>
          <w:lang w:eastAsia="zh-CN"/>
        </w:rPr>
        <w:t>，单位各方面工作得到社会大众的肯定和好评。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行政效能：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本单位</w:t>
      </w:r>
      <w:r>
        <w:rPr>
          <w:rFonts w:ascii="仿宋_GB2312" w:eastAsia="仿宋_GB2312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年度不断改善行政管理，加强制度体系建设，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严格经费及资产管理，改进文风会风，精简会议，提高了行政效率，降低了行政成本。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服务对象满意度：对于服务对象的满意度，我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通过发放调查问卷的形式进行考查，共计发放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份调查问卷，收回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份，其中有</w:t>
      </w:r>
      <w:r>
        <w:rPr>
          <w:rFonts w:ascii="仿宋" w:hAnsi="仿宋" w:eastAsia="仿宋" w:cs="仿宋"/>
          <w:sz w:val="32"/>
          <w:szCs w:val="32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>份为满意及以上。经过分析得出关于受益群众的满意度为</w:t>
      </w:r>
      <w:r>
        <w:rPr>
          <w:rFonts w:ascii="仿宋" w:hAnsi="仿宋" w:eastAsia="仿宋" w:cs="仿宋"/>
          <w:sz w:val="32"/>
          <w:szCs w:val="32"/>
        </w:rPr>
        <w:t>98%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四、评价结论与主要绩效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（一）评价结论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依据查阅相关资料、账簿、会计凭证与现场考察采集的有效数据，按照评价组制定的评价指标体系，万荣县林业局20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年部门整体支出绩效评价最终评分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93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分，绩效评级为“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”。具体得分情况见部门整体支出绩效评价评分表。</w:t>
      </w:r>
    </w:p>
    <w:p>
      <w:pPr>
        <w:numPr>
          <w:ilvl w:val="0"/>
          <w:numId w:val="4"/>
        </w:numPr>
        <w:spacing w:line="65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围绕年度指标 抓好国土绿化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国省造林任务完成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人工造林</w:t>
      </w:r>
      <w:r>
        <w:rPr>
          <w:rFonts w:hint="eastAsia" w:ascii="仿宋" w:hAnsi="仿宋" w:eastAsia="仿宋" w:cs="仿宋"/>
          <w:sz w:val="32"/>
          <w:szCs w:val="32"/>
        </w:rPr>
        <w:t>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0.38万</w:t>
      </w:r>
      <w:r>
        <w:rPr>
          <w:rFonts w:hint="eastAsia" w:ascii="仿宋" w:hAnsi="仿宋" w:eastAsia="仿宋" w:cs="仿宋"/>
          <w:sz w:val="32"/>
          <w:szCs w:val="32"/>
        </w:rPr>
        <w:t>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274万元，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目前已全部完成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造林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地点为沿黄河流域荒山荒沟和稷王山台地的西村乡、王显乡、里望乡，主植侧柏、连翘、花椒为主。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吕梁林局合作造林完成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2.195万亩，地点为黄河流域荒山荒沟，采取鱼鳞坑等方式，主植侧柏、连翘、花椒等。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森林抚育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年度任务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亩，实际完成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亩，实施地点为孤峰山。通过森林抚育，使孤峰山林木容积不断提升。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（三）森林资源管护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1、国家级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公益林管护面积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3.18万亩，聘用管护人员10名，发放1-9月份管护工资12.108万元。聘用管护人员以林区贫困户人员为主，通过森林管护增加了贫困人员收入。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天然林年度任务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聘用管护人员10名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，发放管护工资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4余万元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（四）四旁植树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年度义务植树完成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75万株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亩，其它植树任务完成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65万株。通过义务植树，进一步提升了公民生态意识。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（五）育苗面积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年度任务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0.55万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亩，实际完成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0.56万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亩，实施地点为荣河社南村、万泉北里村等地，主要树种为冬青、国槐、雪松、石楠、木槿等。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低效林提质增效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年度任务1.4万亩，实际完成1.4万亩，实施地点为全县各乡镇。通过整形修剪、水肥管理、病虫防治等措施，使全县低效干果经济林质量不断提升。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森林病虫害防治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年度任务1.6万亩，实际完成1.9万亩，主要包括孤峰山松扁叶蜂防治和杨树草履蚧防治。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围绕生态修复 推进创森工作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2021年，我局紧紧围绕黄河流域高质量发展和森林城市创建，先后实施了汾河入黄口生态修复、孤峰山景区植被恢复和通道绿化三大类造林绿化项目，目前已全部实施到位。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（一）汾河入黄口生态修复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1、黄河流域北辛舍利塔绿化彩化工程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总投资194万元，绿化面积300亩，以红栌、黄栌、火炬等景观树种为主。目前已实施到位。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建设生态廊道项目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沿黄公路二期绿化工程，总投资3100万元，绿化里程15公里，主植国槐、金叶榆、百日红、白皮松、欧石竹等。目前已全部完成。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黄河流域护坡打孔绿化工程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总投资487万元，采取立体打孔栽植方式，主植紫穗槐，目前已实施完成。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4、后土祠后门通道绿化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总投资48万元，主植雪松、龙柏、紫穗槐等，目前已实施到位。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5、建设湿地观测台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万荣县黄河湿地鸟类观测台工程位于荣河镇庙前村原河务局防洪站，鸟类观测台占地270余平米，高度达23米。该项目总投资164.72万元。目前已实施到位。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（二）孤峰山景区植被恢复工程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1、孤峰山冠名园彩叶树种补植工程，总投资148万元，彩化面积200亩，彩叶树种全覆盖，主植黄栌、五角枫、火炬、金叶榆、复叶槭等。目前已实施到位。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2、孤峰山二道门绿化彩化景观提升工程，总投资312万元，彩化面积300亩，实施地点万泉乡柳家院、桥上山，主植五角枫、红栌、黄栌、火炬、金叶榆等。目前已实施到位。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（三）通道绿化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1、万泉至孤峰山立面绿化工程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万泉至孤峰山通道立体绿化，总投资97万元，总里程4公里，主植藤本月季、凌霄等。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2、王显高速口至临猗界绿化工程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总投资380万元，绿化里程3公里，主植国槐、白皮松、紫叶李、草花等。目前已实施到位。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3、裴庄至寺后通道绿化工程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总投资580万元，绿化里程4公里，主植红枫、百日红、白皮松、金叶榆等。目前已实施到位。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4、后土祠周边生态修复绿化工程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740万元，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栽</w:t>
      </w:r>
      <w:r>
        <w:rPr>
          <w:rFonts w:hint="eastAsia" w:ascii="仿宋" w:hAnsi="仿宋" w:eastAsia="仿宋" w:cs="仿宋"/>
          <w:sz w:val="32"/>
          <w:szCs w:val="32"/>
        </w:rPr>
        <w:t>植国槐、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银杏、</w:t>
      </w:r>
      <w:r>
        <w:rPr>
          <w:rFonts w:hint="eastAsia" w:ascii="仿宋" w:hAnsi="仿宋" w:eastAsia="仿宋" w:cs="仿宋"/>
          <w:sz w:val="32"/>
          <w:szCs w:val="32"/>
        </w:rPr>
        <w:t>油松、白皮松、金叶榆、黄叶石楠、北京夏菊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等景观花卉苗木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20.7万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株，目前已实施到位。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皇甫至袁家通道绿化工程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总投资410万元，主植红叶石楠、白皮松、金叶榆、榆叶梅等，目前已实施到位。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6、李后路宝井至吴庄段两侧沟边荒地绿化工程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总投资46.5万元，主植火炬、金叶榆、百日红等。目前已实施到位。</w:t>
      </w:r>
    </w:p>
    <w:p>
      <w:pPr>
        <w:spacing w:line="65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五、存在问题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主要通道绿化需提档升级，主栽树种太单一问题。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部门预算编制工作不够细化严谨；进一步控制追加预算；公用经费支出比例不科学。</w:t>
      </w:r>
    </w:p>
    <w:p>
      <w:pPr>
        <w:spacing w:line="65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六、整改措施及建议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细化预算指标，提高预算科学性。预算编制前根据年度内单位可预见的工作任务，确定单位年度预算目标，细化预算指标，科学合理编制部门预算，推进预算编制科学化、准确化。年度预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完善绩效评价体系，加强监督检查和考核工作。探索完善项目绩效评价指标体系，研究、关注绩效管理理论与实践发展的新思路、新动向，增强绩效评价结果的可比性、可信度。加强对绩效管理工作的跟踪督查，做到绩效管理有依据、按程序、有奖惩，实现绩效管理的规范化、常态化。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加强政策学习，提高思想认识。组织单位人员认真学习《预算法》等相关法规、制度，提高单位领导对全面预算管理的重视程度，增强财务人员的预算意识，坚持先有预算、后有支出，没有预算不得支出的支出理念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附件：1、万荣县级部门整体支出绩效自评评分表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2、20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余额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表(见Excel表)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3、调查问卷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Quad Arrow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9A096"/>
    <w:multiLevelType w:val="singleLevel"/>
    <w:tmpl w:val="A909A0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D32AB1"/>
    <w:multiLevelType w:val="singleLevel"/>
    <w:tmpl w:val="ACD32AB1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00FE4725"/>
    <w:multiLevelType w:val="multilevel"/>
    <w:tmpl w:val="00FE4725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0718AC54"/>
    <w:multiLevelType w:val="singleLevel"/>
    <w:tmpl w:val="0718AC54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0AB78944"/>
    <w:multiLevelType w:val="singleLevel"/>
    <w:tmpl w:val="0AB78944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4536E676"/>
    <w:multiLevelType w:val="singleLevel"/>
    <w:tmpl w:val="4536E676"/>
    <w:lvl w:ilvl="0" w:tentative="0">
      <w:start w:val="2"/>
      <w:numFmt w:val="chineseCounting"/>
      <w:suff w:val="nothing"/>
      <w:lvlText w:val="（%1）"/>
      <w:lvlJc w:val="left"/>
      <w:pPr>
        <w:ind w:left="-11"/>
      </w:pPr>
      <w:rPr>
        <w:rFonts w:hint="eastAsia"/>
      </w:rPr>
    </w:lvl>
  </w:abstractNum>
  <w:abstractNum w:abstractNumId="6">
    <w:nsid w:val="49411A48"/>
    <w:multiLevelType w:val="singleLevel"/>
    <w:tmpl w:val="49411A4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539BDAA6"/>
    <w:multiLevelType w:val="singleLevel"/>
    <w:tmpl w:val="539BDAA6"/>
    <w:lvl w:ilvl="0" w:tentative="0">
      <w:start w:val="2"/>
      <w:numFmt w:val="decimal"/>
      <w:suff w:val="nothing"/>
      <w:lvlText w:val="（%1）"/>
      <w:lvlJc w:val="left"/>
      <w:pPr>
        <w:ind w:left="420"/>
      </w:pPr>
    </w:lvl>
  </w:abstractNum>
  <w:abstractNum w:abstractNumId="8">
    <w:nsid w:val="757D5DA1"/>
    <w:multiLevelType w:val="singleLevel"/>
    <w:tmpl w:val="757D5DA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ZkZjMyNjQ2Y2M1MjU4Mjk3ZmYxYWFlNzU1ZTcwZWYifQ=="/>
  </w:docVars>
  <w:rsids>
    <w:rsidRoot w:val="00000000"/>
    <w:rsid w:val="090E2979"/>
    <w:rsid w:val="09593628"/>
    <w:rsid w:val="0C16523D"/>
    <w:rsid w:val="0DAB2510"/>
    <w:rsid w:val="10453F7E"/>
    <w:rsid w:val="1154565B"/>
    <w:rsid w:val="1500377C"/>
    <w:rsid w:val="18145C3A"/>
    <w:rsid w:val="1E6D5281"/>
    <w:rsid w:val="22314241"/>
    <w:rsid w:val="30611A1D"/>
    <w:rsid w:val="33680D73"/>
    <w:rsid w:val="378907A6"/>
    <w:rsid w:val="39AC2CBF"/>
    <w:rsid w:val="3A7A72C5"/>
    <w:rsid w:val="3E996226"/>
    <w:rsid w:val="49E97E13"/>
    <w:rsid w:val="519A0DF5"/>
    <w:rsid w:val="51C4585C"/>
    <w:rsid w:val="5C6E6AF1"/>
    <w:rsid w:val="610341AE"/>
    <w:rsid w:val="677A16E1"/>
    <w:rsid w:val="678C218C"/>
    <w:rsid w:val="73DB5C75"/>
    <w:rsid w:val="74736752"/>
    <w:rsid w:val="7AA67A71"/>
    <w:rsid w:val="7BC95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semiHidden/>
    <w:unhideWhenUsed/>
    <w:qFormat/>
    <w:uiPriority w:val="99"/>
    <w:pPr>
      <w:spacing w:before="61"/>
      <w:ind w:left="117"/>
    </w:pPr>
    <w:rPr>
      <w:sz w:val="30"/>
      <w:szCs w:val="30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8">
    <w:name w:val="页眉 Char"/>
    <w:basedOn w:val="6"/>
    <w:link w:val="2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5525</Words>
  <Characters>6552</Characters>
  <Lines>5</Lines>
  <Paragraphs>11</Paragraphs>
  <TotalTime>1</TotalTime>
  <ScaleCrop>false</ScaleCrop>
  <LinksUpToDate>false</LinksUpToDate>
  <CharactersWithSpaces>6665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2017-03-08T09:26:00Z</dcterms:created>
  <dc:creator>AutoBVT</dc:creator>
  <cp:lastModifiedBy>荆荆，</cp:lastModifiedBy>
  <cp:lastPrinted>2021-07-12T05:01:00Z</cp:lastPrinted>
  <dcterms:modified xsi:type="dcterms:W3CDTF">2024-04-17T02:11:13Z</dcterms:modified>
  <dc:title>万荣县林业局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5E485684353242FDBC7677DB29EB9B77</vt:lpwstr>
  </property>
</Properties>
</file>