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tabs>
          <w:tab w:val="center" w:pos="6888"/>
        </w:tabs>
        <w:kinsoku/>
        <w:wordWrap/>
        <w:overflowPunct/>
        <w:topLinePunct w:val="0"/>
        <w:autoSpaceDE/>
        <w:autoSpaceDN/>
        <w:bidi w:val="0"/>
        <w:adjustRightInd/>
        <w:snapToGrid/>
        <w:spacing w:line="590" w:lineRule="exact"/>
        <w:jc w:val="left"/>
        <w:textAlignment w:val="auto"/>
        <w:rPr>
          <w:rFonts w:hint="eastAsia" w:ascii="黑体" w:hAnsi="黑体" w:eastAsia="黑体" w:cs="黑体"/>
          <w:bCs/>
          <w:color w:val="auto"/>
          <w:sz w:val="32"/>
          <w:szCs w:val="32"/>
          <w:lang w:val="en-US" w:eastAsia="zh-CN"/>
        </w:rPr>
      </w:pPr>
      <w:bookmarkStart w:id="1" w:name="_GoBack"/>
      <w:bookmarkEnd w:id="1"/>
      <w:r>
        <w:rPr>
          <w:rFonts w:hint="eastAsia" w:ascii="黑体" w:hAnsi="黑体" w:eastAsia="黑体" w:cs="黑体"/>
          <w:bCs/>
          <w:color w:val="auto"/>
          <w:sz w:val="32"/>
          <w:szCs w:val="32"/>
        </w:rPr>
        <w:t>附件</w:t>
      </w:r>
      <w:r>
        <w:rPr>
          <w:rFonts w:hint="eastAsia" w:ascii="黑体" w:hAnsi="黑体" w:eastAsia="黑体" w:cs="黑体"/>
          <w:bCs/>
          <w:color w:val="auto"/>
          <w:sz w:val="32"/>
          <w:szCs w:val="32"/>
          <w:lang w:val="en-US" w:eastAsia="zh-CN"/>
        </w:rPr>
        <w:t>1</w:t>
      </w:r>
    </w:p>
    <w:p>
      <w:pPr>
        <w:keepNext w:val="0"/>
        <w:keepLines w:val="0"/>
        <w:pageBreakBefore w:val="0"/>
        <w:widowControl w:val="0"/>
        <w:shd w:val="clear"/>
        <w:kinsoku/>
        <w:wordWrap/>
        <w:overflowPunct/>
        <w:topLinePunct w:val="0"/>
        <w:autoSpaceDE/>
        <w:autoSpaceDN/>
        <w:bidi w:val="0"/>
        <w:adjustRightInd/>
        <w:snapToGrid/>
        <w:spacing w:before="324" w:beforeLines="100" w:after="324" w:afterLines="100" w:line="590" w:lineRule="exact"/>
        <w:jc w:val="center"/>
        <w:textAlignment w:val="auto"/>
        <w:rPr>
          <w:rFonts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lang w:eastAsia="zh-CN"/>
        </w:rPr>
        <w:t>万荣县推进</w:t>
      </w:r>
      <w:r>
        <w:rPr>
          <w:rFonts w:hint="eastAsia" w:ascii="方正小标宋简体" w:hAnsi="方正小标宋简体" w:eastAsia="方正小标宋简体" w:cs="方正小标宋简体"/>
          <w:bCs/>
          <w:color w:val="auto"/>
          <w:sz w:val="36"/>
          <w:szCs w:val="36"/>
        </w:rPr>
        <w:t>运城网络市场监管与服务示范区创建评估指标体系任务分解</w:t>
      </w:r>
    </w:p>
    <w:tbl>
      <w:tblPr>
        <w:tblStyle w:val="7"/>
        <w:tblW w:w="13776" w:type="dxa"/>
        <w:jc w:val="center"/>
        <w:tblLayout w:type="fixed"/>
        <w:tblCellMar>
          <w:top w:w="0" w:type="dxa"/>
          <w:left w:w="108" w:type="dxa"/>
          <w:bottom w:w="0" w:type="dxa"/>
          <w:right w:w="108" w:type="dxa"/>
        </w:tblCellMar>
      </w:tblPr>
      <w:tblGrid>
        <w:gridCol w:w="740"/>
        <w:gridCol w:w="789"/>
        <w:gridCol w:w="579"/>
        <w:gridCol w:w="841"/>
        <w:gridCol w:w="1552"/>
        <w:gridCol w:w="4142"/>
        <w:gridCol w:w="2181"/>
        <w:gridCol w:w="2952"/>
      </w:tblGrid>
      <w:tr>
        <w:tblPrEx>
          <w:tblCellMar>
            <w:top w:w="0" w:type="dxa"/>
            <w:left w:w="108" w:type="dxa"/>
            <w:bottom w:w="0" w:type="dxa"/>
            <w:right w:w="108" w:type="dxa"/>
          </w:tblCellMar>
        </w:tblPrEx>
        <w:trPr>
          <w:trHeight w:val="794" w:hRule="atLeast"/>
          <w:tblHeader/>
          <w:jc w:val="center"/>
        </w:trPr>
        <w:tc>
          <w:tcPr>
            <w:tcW w:w="7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ascii="黑体" w:hAnsi="黑体" w:eastAsia="黑体" w:cs="黑体"/>
                <w:bCs/>
                <w:color w:val="auto"/>
                <w:kern w:val="0"/>
                <w:sz w:val="24"/>
                <w:szCs w:val="24"/>
              </w:rPr>
            </w:pPr>
            <w:bookmarkStart w:id="0" w:name="OLE_LINK1"/>
            <w:r>
              <w:rPr>
                <w:rFonts w:hint="eastAsia" w:ascii="黑体" w:hAnsi="黑体" w:eastAsia="黑体" w:cs="黑体"/>
                <w:bCs/>
                <w:color w:val="auto"/>
                <w:kern w:val="0"/>
                <w:sz w:val="24"/>
                <w:szCs w:val="24"/>
              </w:rPr>
              <w:t>一级</w:t>
            </w:r>
          </w:p>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ascii="黑体" w:hAnsi="黑体" w:eastAsia="黑体" w:cs="黑体"/>
                <w:bCs/>
                <w:color w:val="auto"/>
                <w:sz w:val="24"/>
                <w:szCs w:val="24"/>
              </w:rPr>
            </w:pPr>
            <w:r>
              <w:rPr>
                <w:rFonts w:hint="eastAsia" w:ascii="黑体" w:hAnsi="黑体" w:eastAsia="黑体" w:cs="黑体"/>
                <w:bCs/>
                <w:color w:val="auto"/>
                <w:kern w:val="0"/>
                <w:sz w:val="24"/>
                <w:szCs w:val="24"/>
              </w:rPr>
              <w:t>指标</w:t>
            </w:r>
          </w:p>
        </w:tc>
        <w:tc>
          <w:tcPr>
            <w:tcW w:w="78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ascii="黑体" w:hAnsi="黑体" w:eastAsia="黑体" w:cs="黑体"/>
                <w:bCs/>
                <w:color w:val="auto"/>
                <w:kern w:val="0"/>
                <w:sz w:val="24"/>
                <w:szCs w:val="24"/>
              </w:rPr>
            </w:pPr>
            <w:r>
              <w:rPr>
                <w:rFonts w:hint="eastAsia" w:ascii="黑体" w:hAnsi="黑体" w:eastAsia="黑体" w:cs="黑体"/>
                <w:bCs/>
                <w:color w:val="auto"/>
                <w:kern w:val="0"/>
                <w:sz w:val="24"/>
                <w:szCs w:val="24"/>
              </w:rPr>
              <w:t>二级</w:t>
            </w:r>
          </w:p>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ascii="黑体" w:hAnsi="黑体" w:eastAsia="黑体" w:cs="黑体"/>
                <w:bCs/>
                <w:color w:val="auto"/>
                <w:sz w:val="24"/>
                <w:szCs w:val="24"/>
              </w:rPr>
            </w:pPr>
            <w:r>
              <w:rPr>
                <w:rFonts w:hint="eastAsia" w:ascii="黑体" w:hAnsi="黑体" w:eastAsia="黑体" w:cs="黑体"/>
                <w:bCs/>
                <w:color w:val="auto"/>
                <w:kern w:val="0"/>
                <w:sz w:val="24"/>
                <w:szCs w:val="24"/>
              </w:rPr>
              <w:t>指标</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ascii="黑体" w:hAnsi="黑体" w:eastAsia="黑体" w:cs="黑体"/>
                <w:bCs/>
                <w:color w:val="auto"/>
                <w:sz w:val="24"/>
                <w:szCs w:val="24"/>
              </w:rPr>
            </w:pPr>
            <w:r>
              <w:rPr>
                <w:rFonts w:hint="eastAsia" w:ascii="黑体" w:hAnsi="黑体" w:eastAsia="黑体" w:cs="黑体"/>
                <w:bCs/>
                <w:color w:val="auto"/>
                <w:kern w:val="0"/>
                <w:sz w:val="24"/>
                <w:szCs w:val="24"/>
              </w:rPr>
              <w:t>编号</w:t>
            </w:r>
          </w:p>
        </w:tc>
        <w:tc>
          <w:tcPr>
            <w:tcW w:w="84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ascii="黑体" w:hAnsi="黑体" w:eastAsia="黑体" w:cs="黑体"/>
                <w:bCs/>
                <w:color w:val="auto"/>
                <w:sz w:val="24"/>
                <w:szCs w:val="24"/>
              </w:rPr>
            </w:pPr>
            <w:r>
              <w:rPr>
                <w:rFonts w:hint="eastAsia" w:ascii="黑体" w:hAnsi="黑体" w:eastAsia="黑体" w:cs="黑体"/>
                <w:bCs/>
                <w:color w:val="auto"/>
                <w:kern w:val="0"/>
                <w:sz w:val="24"/>
                <w:szCs w:val="24"/>
              </w:rPr>
              <w:t>变量性质</w:t>
            </w:r>
          </w:p>
        </w:tc>
        <w:tc>
          <w:tcPr>
            <w:tcW w:w="15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ascii="黑体" w:hAnsi="黑体" w:eastAsia="黑体" w:cs="黑体"/>
                <w:bCs/>
                <w:color w:val="auto"/>
                <w:sz w:val="24"/>
                <w:szCs w:val="24"/>
              </w:rPr>
            </w:pPr>
            <w:r>
              <w:rPr>
                <w:rFonts w:hint="eastAsia" w:ascii="黑体" w:hAnsi="黑体" w:eastAsia="黑体" w:cs="黑体"/>
                <w:bCs/>
                <w:color w:val="auto"/>
                <w:kern w:val="0"/>
                <w:sz w:val="24"/>
                <w:szCs w:val="24"/>
              </w:rPr>
              <w:t>三级指标</w:t>
            </w:r>
          </w:p>
        </w:tc>
        <w:tc>
          <w:tcPr>
            <w:tcW w:w="414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ascii="黑体" w:hAnsi="黑体" w:eastAsia="黑体" w:cs="黑体"/>
                <w:bCs/>
                <w:color w:val="auto"/>
                <w:sz w:val="24"/>
                <w:szCs w:val="24"/>
              </w:rPr>
            </w:pPr>
            <w:r>
              <w:rPr>
                <w:rFonts w:hint="eastAsia" w:ascii="黑体" w:hAnsi="黑体" w:eastAsia="黑体" w:cs="黑体"/>
                <w:bCs/>
                <w:color w:val="auto"/>
                <w:kern w:val="0"/>
                <w:sz w:val="24"/>
                <w:szCs w:val="24"/>
              </w:rPr>
              <w:t>指标说明及打分标准</w:t>
            </w:r>
          </w:p>
        </w:tc>
        <w:tc>
          <w:tcPr>
            <w:tcW w:w="21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ascii="黑体" w:hAnsi="黑体" w:eastAsia="黑体" w:cs="黑体"/>
                <w:bCs/>
                <w:color w:val="auto"/>
                <w:kern w:val="0"/>
                <w:sz w:val="24"/>
                <w:szCs w:val="24"/>
              </w:rPr>
            </w:pPr>
            <w:r>
              <w:rPr>
                <w:rFonts w:hint="eastAsia" w:ascii="黑体" w:hAnsi="黑体" w:eastAsia="黑体" w:cs="黑体"/>
                <w:bCs/>
                <w:color w:val="auto"/>
                <w:kern w:val="0"/>
                <w:sz w:val="24"/>
                <w:szCs w:val="24"/>
              </w:rPr>
              <w:t>评估方式及数据或</w:t>
            </w:r>
          </w:p>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ascii="黑体" w:hAnsi="黑体" w:eastAsia="黑体" w:cs="黑体"/>
                <w:bCs/>
                <w:color w:val="auto"/>
                <w:sz w:val="24"/>
                <w:szCs w:val="24"/>
              </w:rPr>
            </w:pPr>
            <w:r>
              <w:rPr>
                <w:rFonts w:hint="eastAsia" w:ascii="黑体" w:hAnsi="黑体" w:eastAsia="黑体" w:cs="黑体"/>
                <w:bCs/>
                <w:color w:val="auto"/>
                <w:kern w:val="0"/>
                <w:sz w:val="24"/>
                <w:szCs w:val="24"/>
              </w:rPr>
              <w:t>资料来源</w:t>
            </w:r>
          </w:p>
        </w:tc>
        <w:tc>
          <w:tcPr>
            <w:tcW w:w="29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ascii="黑体" w:hAnsi="黑体" w:eastAsia="黑体" w:cs="黑体"/>
                <w:bCs/>
                <w:color w:val="auto"/>
                <w:kern w:val="0"/>
                <w:sz w:val="24"/>
                <w:szCs w:val="24"/>
              </w:rPr>
            </w:pPr>
            <w:r>
              <w:rPr>
                <w:rFonts w:hint="eastAsia" w:ascii="黑体" w:hAnsi="黑体" w:eastAsia="黑体" w:cs="黑体"/>
                <w:bCs/>
                <w:color w:val="auto"/>
                <w:kern w:val="0"/>
                <w:sz w:val="24"/>
                <w:szCs w:val="24"/>
              </w:rPr>
              <w:t>责任单位</w:t>
            </w:r>
          </w:p>
        </w:tc>
      </w:tr>
      <w:tr>
        <w:tblPrEx>
          <w:tblCellMar>
            <w:top w:w="0" w:type="dxa"/>
            <w:left w:w="108" w:type="dxa"/>
            <w:bottom w:w="0" w:type="dxa"/>
            <w:right w:w="108" w:type="dxa"/>
          </w:tblCellMar>
        </w:tblPrEx>
        <w:trPr>
          <w:trHeight w:val="1814" w:hRule="atLeast"/>
          <w:jc w:val="center"/>
        </w:trPr>
        <w:tc>
          <w:tcPr>
            <w:tcW w:w="7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促进发展（20分）</w:t>
            </w:r>
          </w:p>
        </w:tc>
        <w:tc>
          <w:tcPr>
            <w:tcW w:w="78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发展规模（10分）</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1</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定量</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网上零售额同比增速。</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网上零售额同比增速=（当年网上零售额/上一年度网上零售额-1）*100%。</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近2年，创建地区网上零售额同比增速超过全国网上零售额同比增速。超过1年得1分，共2分。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方式：数据比对、资料审查。</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1.国家统计局官网；</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2.创建对象提供。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统计局、</w:t>
            </w:r>
            <w:r>
              <w:rPr>
                <w:rFonts w:hint="eastAsia" w:asciiTheme="minorEastAsia" w:hAnsiTheme="minorEastAsia" w:eastAsiaTheme="minorEastAsia" w:cstheme="minorEastAsia"/>
                <w:color w:val="auto"/>
                <w:kern w:val="0"/>
                <w:sz w:val="22"/>
                <w:szCs w:val="22"/>
                <w:lang w:val="en-US" w:eastAsia="zh-CN"/>
              </w:rPr>
              <w:t>县工科局</w:t>
            </w:r>
          </w:p>
        </w:tc>
      </w:tr>
      <w:tr>
        <w:tblPrEx>
          <w:tblCellMar>
            <w:top w:w="0" w:type="dxa"/>
            <w:left w:w="108" w:type="dxa"/>
            <w:bottom w:w="0" w:type="dxa"/>
            <w:right w:w="108" w:type="dxa"/>
          </w:tblCellMar>
        </w:tblPrEx>
        <w:trPr>
          <w:trHeight w:val="1814" w:hRule="atLeast"/>
          <w:jc w:val="center"/>
        </w:trPr>
        <w:tc>
          <w:tcPr>
            <w:tcW w:w="740" w:type="dxa"/>
            <w:vMerge w:val="continue"/>
            <w:tcBorders>
              <w:left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789" w:type="dxa"/>
            <w:vMerge w:val="continue"/>
            <w:tcBorders>
              <w:left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定量</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网上零售额同比增速超过社会零售总额同比增速。</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社会零售总额同比增速=（当年社会零售总额/上一年度社会零售总额-1）*100%。</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近2年，创建地区网上零售额同比增速超过其社会零售总额同比增速。超过1年得1分，共2分。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方式：数据比对、资料审查。</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1.国家统计局官网；</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2.创建对象提供。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统计局、</w:t>
            </w:r>
            <w:r>
              <w:rPr>
                <w:rFonts w:hint="eastAsia" w:asciiTheme="minorEastAsia" w:hAnsiTheme="minorEastAsia" w:eastAsiaTheme="minorEastAsia" w:cstheme="minorEastAsia"/>
                <w:color w:val="auto"/>
                <w:kern w:val="0"/>
                <w:sz w:val="22"/>
                <w:szCs w:val="22"/>
                <w:lang w:val="en-US" w:eastAsia="zh-CN"/>
              </w:rPr>
              <w:t>县工科局</w:t>
            </w:r>
          </w:p>
        </w:tc>
      </w:tr>
      <w:tr>
        <w:tblPrEx>
          <w:tblCellMar>
            <w:top w:w="0" w:type="dxa"/>
            <w:left w:w="108" w:type="dxa"/>
            <w:bottom w:w="0" w:type="dxa"/>
            <w:right w:w="108" w:type="dxa"/>
          </w:tblCellMar>
        </w:tblPrEx>
        <w:trPr>
          <w:trHeight w:val="2030" w:hRule="atLeast"/>
          <w:jc w:val="center"/>
        </w:trPr>
        <w:tc>
          <w:tcPr>
            <w:tcW w:w="7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78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3</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定量</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网络交易经营者数量占市场主体比重。</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Style w:val="10"/>
                <w:rFonts w:hint="eastAsia" w:asciiTheme="minorEastAsia" w:hAnsiTheme="minorEastAsia" w:eastAsiaTheme="minorEastAsia" w:cstheme="minorEastAsia"/>
                <w:color w:val="auto"/>
                <w:sz w:val="22"/>
                <w:szCs w:val="22"/>
              </w:rPr>
            </w:pPr>
            <w:r>
              <w:rPr>
                <w:rStyle w:val="10"/>
                <w:rFonts w:hint="eastAsia" w:asciiTheme="minorEastAsia" w:hAnsiTheme="minorEastAsia" w:eastAsiaTheme="minorEastAsia" w:cstheme="minorEastAsia"/>
                <w:color w:val="auto"/>
                <w:sz w:val="22"/>
                <w:szCs w:val="22"/>
              </w:rPr>
              <w:t>网络交易经营者数量/市场主体数量。占比8%-15%得1分，15%以上得2分。（比值区间均含本数，下同）</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Style w:val="10"/>
                <w:rFonts w:hint="eastAsia" w:asciiTheme="minorEastAsia" w:hAnsiTheme="minorEastAsia" w:eastAsiaTheme="minorEastAsia" w:cstheme="minorEastAsia"/>
                <w:color w:val="auto"/>
                <w:sz w:val="22"/>
                <w:szCs w:val="22"/>
              </w:rPr>
              <w:t>网络交易经营者主要统计网络交易平台、平台内经营者及自建网站经营者,下同。</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方式：数据比对、资料审查。</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1.国家网络交易监管平台；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2.创建对象提供。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pacing w:val="6"/>
                <w:kern w:val="0"/>
                <w:sz w:val="22"/>
                <w:szCs w:val="22"/>
              </w:rPr>
            </w:pPr>
            <w:r>
              <w:rPr>
                <w:rFonts w:hint="eastAsia" w:asciiTheme="minorEastAsia" w:hAnsiTheme="minorEastAsia" w:eastAsiaTheme="minorEastAsia" w:cstheme="minorEastAsia"/>
                <w:color w:val="auto"/>
                <w:spacing w:val="6"/>
                <w:kern w:val="0"/>
                <w:sz w:val="22"/>
                <w:szCs w:val="22"/>
                <w:lang w:val="en-US" w:eastAsia="zh-CN"/>
              </w:rPr>
              <w:t>县</w:t>
            </w:r>
            <w:r>
              <w:rPr>
                <w:rFonts w:hint="eastAsia" w:asciiTheme="minorEastAsia" w:hAnsiTheme="minorEastAsia" w:eastAsiaTheme="minorEastAsia" w:cstheme="minorEastAsia"/>
                <w:color w:val="auto"/>
                <w:spacing w:val="6"/>
                <w:kern w:val="0"/>
                <w:sz w:val="22"/>
                <w:szCs w:val="22"/>
              </w:rPr>
              <w:t>市场监管局</w:t>
            </w:r>
          </w:p>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pacing w:val="6"/>
                <w:kern w:val="0"/>
                <w:sz w:val="22"/>
                <w:szCs w:val="22"/>
                <w:lang w:eastAsia="zh-CN"/>
              </w:rPr>
            </w:pPr>
            <w:r>
              <w:rPr>
                <w:rFonts w:hint="eastAsia" w:asciiTheme="minorEastAsia" w:hAnsiTheme="minorEastAsia" w:eastAsiaTheme="minorEastAsia" w:cstheme="minorEastAsia"/>
                <w:color w:val="auto"/>
                <w:spacing w:val="6"/>
                <w:kern w:val="0"/>
                <w:sz w:val="22"/>
                <w:szCs w:val="22"/>
                <w:lang w:val="en-US" w:eastAsia="zh-CN"/>
              </w:rPr>
              <w:t>县</w:t>
            </w:r>
            <w:r>
              <w:rPr>
                <w:rFonts w:hint="eastAsia" w:asciiTheme="minorEastAsia" w:hAnsiTheme="minorEastAsia" w:eastAsiaTheme="minorEastAsia" w:cstheme="minorEastAsia"/>
                <w:color w:val="auto"/>
                <w:spacing w:val="6"/>
                <w:kern w:val="0"/>
                <w:sz w:val="22"/>
                <w:szCs w:val="22"/>
                <w:lang w:eastAsia="zh-CN"/>
              </w:rPr>
              <w:t>行政审批局</w:t>
            </w:r>
          </w:p>
        </w:tc>
      </w:tr>
      <w:tr>
        <w:tblPrEx>
          <w:tblCellMar>
            <w:top w:w="0" w:type="dxa"/>
            <w:left w:w="108" w:type="dxa"/>
            <w:bottom w:w="0" w:type="dxa"/>
            <w:right w:w="108" w:type="dxa"/>
          </w:tblCellMar>
        </w:tblPrEx>
        <w:trPr>
          <w:trHeight w:val="1814" w:hRule="atLeast"/>
          <w:jc w:val="center"/>
        </w:trPr>
        <w:tc>
          <w:tcPr>
            <w:tcW w:w="7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促进发展（20分）</w:t>
            </w:r>
          </w:p>
        </w:tc>
        <w:tc>
          <w:tcPr>
            <w:tcW w:w="78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发展质量（10分）</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4</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定量</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新增规模以上网络交易经营者数量。</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近2年，新增年度电子商务销售额东部地区2亿元以上、中部地区1亿元以上、西部地区5000万元以上的网络交易经营者数量。有1家得1分，有2家及以上得2分。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val="en-US" w:eastAsia="zh-CN"/>
              </w:rPr>
              <w:t>县统计局、县工科局</w:t>
            </w:r>
          </w:p>
        </w:tc>
      </w:tr>
      <w:tr>
        <w:tblPrEx>
          <w:tblCellMar>
            <w:top w:w="0" w:type="dxa"/>
            <w:left w:w="108" w:type="dxa"/>
            <w:bottom w:w="0" w:type="dxa"/>
            <w:right w:w="108" w:type="dxa"/>
          </w:tblCellMar>
        </w:tblPrEx>
        <w:trPr>
          <w:trHeight w:val="1814" w:hRule="atLeast"/>
          <w:jc w:val="center"/>
        </w:trPr>
        <w:tc>
          <w:tcPr>
            <w:tcW w:w="740" w:type="dxa"/>
            <w:vMerge w:val="continue"/>
            <w:tcBorders>
              <w:left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789" w:type="dxa"/>
            <w:vMerge w:val="continue"/>
            <w:tcBorders>
              <w:left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lang w:val="en"/>
              </w:rPr>
            </w:pPr>
            <w:r>
              <w:rPr>
                <w:rFonts w:hint="eastAsia" w:asciiTheme="minorEastAsia" w:hAnsiTheme="minorEastAsia" w:eastAsiaTheme="minorEastAsia" w:cstheme="minorEastAsia"/>
                <w:color w:val="auto"/>
                <w:sz w:val="22"/>
                <w:szCs w:val="22"/>
                <w:lang w:val="en"/>
              </w:rPr>
              <w:t>5</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定量</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快递业务同比增速。（2分）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快递业务同比增速=（当年快递业务量/上一年度快递业务量-1）*100%。</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近2年，创建地区快递业务同比增速超过全国快递业务同比增速。超过1年得1分，共2分。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方式：数据比对、资料审查。</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1.国家邮政局官网；</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2.创建对象提供。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邮政管理局</w:t>
            </w:r>
          </w:p>
        </w:tc>
      </w:tr>
      <w:tr>
        <w:tblPrEx>
          <w:tblCellMar>
            <w:top w:w="0" w:type="dxa"/>
            <w:left w:w="108" w:type="dxa"/>
            <w:bottom w:w="0" w:type="dxa"/>
            <w:right w:w="108" w:type="dxa"/>
          </w:tblCellMar>
        </w:tblPrEx>
        <w:trPr>
          <w:trHeight w:val="2030" w:hRule="atLeast"/>
          <w:jc w:val="center"/>
        </w:trPr>
        <w:tc>
          <w:tcPr>
            <w:tcW w:w="740" w:type="dxa"/>
            <w:vMerge w:val="continue"/>
            <w:tcBorders>
              <w:left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789" w:type="dxa"/>
            <w:vMerge w:val="continue"/>
            <w:tcBorders>
              <w:left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2"/>
                <w:sz w:val="22"/>
                <w:szCs w:val="22"/>
                <w:lang w:val="en" w:eastAsia="zh-CN" w:bidi="ar-SA"/>
              </w:rPr>
            </w:pPr>
            <w:r>
              <w:rPr>
                <w:rFonts w:hint="eastAsia" w:asciiTheme="minorEastAsia" w:hAnsiTheme="minorEastAsia" w:eastAsiaTheme="minorEastAsia" w:cstheme="minorEastAsia"/>
                <w:color w:val="auto"/>
                <w:kern w:val="0"/>
                <w:sz w:val="22"/>
                <w:szCs w:val="22"/>
                <w:lang w:val="en"/>
              </w:rPr>
              <w:t>6</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定量</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网络市场消费贡献度。</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Style w:val="10"/>
                <w:rFonts w:hint="eastAsia" w:asciiTheme="minorEastAsia" w:hAnsiTheme="minorEastAsia" w:eastAsiaTheme="minorEastAsia" w:cstheme="minorEastAsia"/>
                <w:color w:val="auto"/>
                <w:sz w:val="22"/>
                <w:szCs w:val="22"/>
              </w:rPr>
            </w:pPr>
            <w:r>
              <w:rPr>
                <w:rStyle w:val="10"/>
                <w:rFonts w:hint="eastAsia" w:asciiTheme="minorEastAsia" w:hAnsiTheme="minorEastAsia" w:eastAsiaTheme="minorEastAsia" w:cstheme="minorEastAsia"/>
                <w:color w:val="auto"/>
                <w:sz w:val="22"/>
                <w:szCs w:val="22"/>
              </w:rPr>
              <w:t>网络市场消费贡献度=网上零售额/社会零售总额。</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Style w:val="10"/>
                <w:rFonts w:hint="eastAsia" w:asciiTheme="minorEastAsia" w:hAnsiTheme="minorEastAsia" w:eastAsiaTheme="minorEastAsia" w:cstheme="minorEastAsia"/>
                <w:color w:val="auto"/>
                <w:sz w:val="22"/>
                <w:szCs w:val="22"/>
              </w:rPr>
              <w:t>近2年，创建地区网上零售额在社会零售总额中的占比超过全国网上零售额在社会零售总额中的占比。超过1年得1分，共2分。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方式：数据比对、资料审查。</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1.国家统计局官网；</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2.创建对象提供。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统计局、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商务局、</w:t>
            </w:r>
          </w:p>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市场监管局</w:t>
            </w:r>
          </w:p>
        </w:tc>
      </w:tr>
      <w:tr>
        <w:tblPrEx>
          <w:tblCellMar>
            <w:top w:w="0" w:type="dxa"/>
            <w:left w:w="108" w:type="dxa"/>
            <w:bottom w:w="0" w:type="dxa"/>
            <w:right w:w="108" w:type="dxa"/>
          </w:tblCellMar>
        </w:tblPrEx>
        <w:trPr>
          <w:trHeight w:val="1814" w:hRule="atLeast"/>
          <w:jc w:val="center"/>
        </w:trPr>
        <w:tc>
          <w:tcPr>
            <w:tcW w:w="7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78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7</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定量</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网络市场就业贡献度。</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网络市场就业贡献度=网络市场就业人员数量/地方就业人员总数量。占比3%-5%得1分，5%以上得2分。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县委宣传部（网信办）、</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人社局、</w:t>
            </w:r>
            <w:r>
              <w:rPr>
                <w:rFonts w:hint="eastAsia" w:asciiTheme="minorEastAsia" w:hAnsiTheme="minorEastAsia" w:eastAsiaTheme="minorEastAsia" w:cstheme="minorEastAsia"/>
                <w:color w:val="auto"/>
                <w:kern w:val="0"/>
                <w:sz w:val="22"/>
                <w:szCs w:val="22"/>
                <w:lang w:val="en-US" w:eastAsia="zh-CN"/>
              </w:rPr>
              <w:t>县文旅局、县工科局</w:t>
            </w:r>
            <w:r>
              <w:rPr>
                <w:rFonts w:hint="eastAsia" w:asciiTheme="minorEastAsia" w:hAnsiTheme="minorEastAsia" w:eastAsiaTheme="minorEastAsia" w:cstheme="minorEastAsia"/>
                <w:color w:val="auto"/>
                <w:kern w:val="0"/>
                <w:sz w:val="22"/>
                <w:szCs w:val="22"/>
              </w:rPr>
              <w:t>、</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交通局、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邮政管理局、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市场监管局</w:t>
            </w:r>
          </w:p>
        </w:tc>
      </w:tr>
      <w:tr>
        <w:tblPrEx>
          <w:tblCellMar>
            <w:top w:w="0" w:type="dxa"/>
            <w:left w:w="108" w:type="dxa"/>
            <w:bottom w:w="0" w:type="dxa"/>
            <w:right w:w="108" w:type="dxa"/>
          </w:tblCellMar>
        </w:tblPrEx>
        <w:trPr>
          <w:trHeight w:val="2494" w:hRule="atLeast"/>
          <w:jc w:val="center"/>
        </w:trPr>
        <w:tc>
          <w:tcPr>
            <w:tcW w:w="7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促进发展（20分）</w:t>
            </w:r>
          </w:p>
        </w:tc>
        <w:tc>
          <w:tcPr>
            <w:tcW w:w="78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发展质量（10分）</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8</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定量</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网络市场税收贡献度。</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网络市场税收贡献度=电子商务纳税额/地区总税收额。占比3%-5%得1分，5%以上得2分。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税务局</w:t>
            </w:r>
          </w:p>
        </w:tc>
      </w:tr>
      <w:tr>
        <w:tblPrEx>
          <w:tblCellMar>
            <w:top w:w="0" w:type="dxa"/>
            <w:left w:w="108" w:type="dxa"/>
            <w:bottom w:w="0" w:type="dxa"/>
            <w:right w:w="108" w:type="dxa"/>
          </w:tblCellMar>
        </w:tblPrEx>
        <w:trPr>
          <w:trHeight w:val="2494" w:hRule="atLeast"/>
          <w:jc w:val="center"/>
        </w:trPr>
        <w:tc>
          <w:tcPr>
            <w:tcW w:w="740" w:type="dxa"/>
            <w:vMerge w:val="continue"/>
            <w:tcBorders>
              <w:left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789" w:type="dxa"/>
            <w:vMerge w:val="continue"/>
            <w:tcBorders>
              <w:left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9</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定量</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1"/>
                <w:kern w:val="0"/>
                <w:sz w:val="22"/>
                <w:szCs w:val="22"/>
              </w:rPr>
              <w:t>存续时间2年以上的网络交易经营者占比。</w:t>
            </w:r>
            <w:r>
              <w:rPr>
                <w:rFonts w:hint="eastAsia" w:asciiTheme="minorEastAsia" w:hAnsiTheme="minorEastAsia" w:eastAsiaTheme="minorEastAsia" w:cstheme="minorEastAsia"/>
                <w:color w:val="auto"/>
                <w:kern w:val="0"/>
                <w:sz w:val="22"/>
                <w:szCs w:val="22"/>
              </w:rPr>
              <w:t>（2分）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存续时间2年以上的网络交易经营者数量/现有网络交易经营者数量。占比30%-50%得1分，50%以上得2分。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方式：数据比对、资料审查。</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1.国家网络交易监管平台。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2.创建对象提供。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市场监管局</w:t>
            </w:r>
          </w:p>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lang w:eastAsia="zh-CN"/>
              </w:rPr>
              <w:t>审批服务管理局</w:t>
            </w:r>
          </w:p>
        </w:tc>
      </w:tr>
      <w:tr>
        <w:tblPrEx>
          <w:tblCellMar>
            <w:top w:w="0" w:type="dxa"/>
            <w:left w:w="108" w:type="dxa"/>
            <w:bottom w:w="0" w:type="dxa"/>
            <w:right w:w="108" w:type="dxa"/>
          </w:tblCellMar>
        </w:tblPrEx>
        <w:trPr>
          <w:trHeight w:val="2494" w:hRule="atLeast"/>
          <w:jc w:val="center"/>
        </w:trPr>
        <w:tc>
          <w:tcPr>
            <w:tcW w:w="7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78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10</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有特色网络市场产业。</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结合地方实际，在直播电商、跨境电商、农村电商等新业态、新模式、新领域形成地方发展特色。（2分）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万荣县</w:t>
            </w:r>
            <w:r>
              <w:rPr>
                <w:rFonts w:hint="eastAsia" w:asciiTheme="minorEastAsia" w:hAnsiTheme="minorEastAsia" w:eastAsiaTheme="minorEastAsia" w:cstheme="minorEastAsia"/>
                <w:color w:val="auto"/>
                <w:kern w:val="0"/>
                <w:sz w:val="22"/>
                <w:szCs w:val="22"/>
              </w:rPr>
              <w:t>网络市场监管局际联席会议各成员单位、</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农业农村局、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教育局、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交通局、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住建局</w:t>
            </w:r>
            <w:r>
              <w:rPr>
                <w:rFonts w:hint="eastAsia" w:asciiTheme="minorEastAsia" w:hAnsiTheme="minorEastAsia" w:eastAsiaTheme="minorEastAsia" w:cstheme="minorEastAsia"/>
                <w:color w:val="auto"/>
                <w:kern w:val="0"/>
                <w:sz w:val="22"/>
                <w:szCs w:val="22"/>
                <w:lang w:eastAsia="zh-CN"/>
              </w:rPr>
              <w:t>、</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lang w:eastAsia="zh-CN"/>
              </w:rPr>
              <w:t>果业发展中心</w:t>
            </w:r>
          </w:p>
        </w:tc>
      </w:tr>
      <w:tr>
        <w:tblPrEx>
          <w:tblCellMar>
            <w:top w:w="0" w:type="dxa"/>
            <w:left w:w="108" w:type="dxa"/>
            <w:bottom w:w="0" w:type="dxa"/>
            <w:right w:w="108" w:type="dxa"/>
          </w:tblCellMar>
        </w:tblPrEx>
        <w:trPr>
          <w:trHeight w:val="3061" w:hRule="atLeast"/>
          <w:jc w:val="center"/>
        </w:trPr>
        <w:tc>
          <w:tcPr>
            <w:tcW w:w="7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规范监管（25分）</w:t>
            </w:r>
          </w:p>
        </w:tc>
        <w:tc>
          <w:tcPr>
            <w:tcW w:w="78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完善监管（15分）</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11</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定性+定量</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11"/>
                <w:kern w:val="0"/>
                <w:sz w:val="22"/>
                <w:szCs w:val="22"/>
              </w:rPr>
              <w:t>强化智慧监管。</w:t>
            </w:r>
            <w:r>
              <w:rPr>
                <w:rFonts w:hint="eastAsia" w:asciiTheme="minorEastAsia" w:hAnsiTheme="minorEastAsia" w:eastAsiaTheme="minorEastAsia" w:cstheme="minorEastAsia"/>
                <w:color w:val="auto"/>
                <w:kern w:val="0"/>
                <w:sz w:val="22"/>
                <w:szCs w:val="22"/>
              </w:rPr>
              <w:t>（3分）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通过国家网络交易监管平台，强化智慧监管，实现以网管网。</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1.国家网络交易监管平台用户数超过在编监管人员数50%；（1分）</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2.国家网络交易监管平台分发的网络交易经营者主体身份信息认领处置率达到100%；（1分）</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3.为国家网络交易监管平台提供系统接口和应用模型。（1分）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方式：数据比对、资料审查。</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11"/>
                <w:kern w:val="0"/>
                <w:sz w:val="22"/>
                <w:szCs w:val="22"/>
              </w:rPr>
              <w:t>国家网络交易监管平台。</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市场监管局</w:t>
            </w:r>
          </w:p>
        </w:tc>
      </w:tr>
      <w:tr>
        <w:tblPrEx>
          <w:tblCellMar>
            <w:top w:w="0" w:type="dxa"/>
            <w:left w:w="108" w:type="dxa"/>
            <w:bottom w:w="0" w:type="dxa"/>
            <w:right w:w="108" w:type="dxa"/>
          </w:tblCellMar>
        </w:tblPrEx>
        <w:trPr>
          <w:trHeight w:val="2324" w:hRule="atLeast"/>
          <w:jc w:val="center"/>
        </w:trPr>
        <w:tc>
          <w:tcPr>
            <w:tcW w:w="740" w:type="dxa"/>
            <w:vMerge w:val="continue"/>
            <w:tcBorders>
              <w:left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789" w:type="dxa"/>
            <w:vMerge w:val="continue"/>
            <w:tcBorders>
              <w:left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12</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发挥信用监管的基础作用。（3分）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1.</w:t>
            </w:r>
            <w:r>
              <w:rPr>
                <w:rFonts w:hint="eastAsia" w:asciiTheme="minorEastAsia" w:hAnsiTheme="minorEastAsia" w:eastAsiaTheme="minorEastAsia" w:cstheme="minorEastAsia"/>
                <w:color w:val="auto"/>
                <w:spacing w:val="6"/>
                <w:kern w:val="0"/>
                <w:sz w:val="22"/>
                <w:szCs w:val="22"/>
              </w:rPr>
              <w:t>完善守信联合激励和失信联合惩戒机制，形成过罚相当的信用约束机制；（1分）</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2.加强信用信息跨部门归集共享，完善信用信息公示和信用修复；（1分）</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3.探索开展信用分级分类监管，根据信用风险等级，采取差异化监管措施。（1分）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eastAsia="zh-CN"/>
              </w:rPr>
              <w:t>万荣县</w:t>
            </w:r>
            <w:r>
              <w:rPr>
                <w:rFonts w:hint="eastAsia" w:asciiTheme="minorEastAsia" w:hAnsiTheme="minorEastAsia" w:eastAsiaTheme="minorEastAsia" w:cstheme="minorEastAsia"/>
                <w:color w:val="auto"/>
                <w:kern w:val="0"/>
                <w:sz w:val="22"/>
                <w:szCs w:val="22"/>
              </w:rPr>
              <w:t>网络市场监管局际联席会议各成员单位、</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lang w:eastAsia="zh-CN"/>
              </w:rPr>
              <w:t>发改</w:t>
            </w:r>
            <w:r>
              <w:rPr>
                <w:rFonts w:hint="eastAsia" w:asciiTheme="minorEastAsia" w:hAnsiTheme="minorEastAsia" w:eastAsiaTheme="minorEastAsia" w:cstheme="minorEastAsia"/>
                <w:color w:val="auto"/>
                <w:kern w:val="0"/>
                <w:sz w:val="22"/>
                <w:szCs w:val="22"/>
                <w:lang w:val="en-US" w:eastAsia="zh-CN"/>
              </w:rPr>
              <w:t>局</w:t>
            </w:r>
            <w:r>
              <w:rPr>
                <w:rFonts w:hint="eastAsia" w:asciiTheme="minorEastAsia" w:hAnsiTheme="minorEastAsia" w:eastAsiaTheme="minorEastAsia" w:cstheme="minorEastAsia"/>
                <w:color w:val="auto"/>
                <w:kern w:val="0"/>
                <w:sz w:val="22"/>
                <w:szCs w:val="22"/>
              </w:rPr>
              <w:t>、</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农业农村局、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教育局、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交通局、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住建局</w:t>
            </w:r>
          </w:p>
        </w:tc>
      </w:tr>
      <w:tr>
        <w:tblPrEx>
          <w:tblCellMar>
            <w:top w:w="0" w:type="dxa"/>
            <w:left w:w="108" w:type="dxa"/>
            <w:bottom w:w="0" w:type="dxa"/>
            <w:right w:w="108" w:type="dxa"/>
          </w:tblCellMar>
        </w:tblPrEx>
        <w:trPr>
          <w:trHeight w:val="2098" w:hRule="atLeast"/>
          <w:jc w:val="center"/>
        </w:trPr>
        <w:tc>
          <w:tcPr>
            <w:tcW w:w="7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78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13</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建立健全协同监管。（3分）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1.建立网络执法办案会商和联合执法机制，协作办理涉网案件；（1分）</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2.多部门联合开展网剑行动等网络市场专项整治；（1分）</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3.协助外地办理涉网案件或者请外地协助办理涉网案件。（1分）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eastAsia="zh-CN"/>
              </w:rPr>
              <w:t>万荣县</w:t>
            </w:r>
            <w:r>
              <w:rPr>
                <w:rFonts w:hint="eastAsia" w:asciiTheme="minorEastAsia" w:hAnsiTheme="minorEastAsia" w:eastAsiaTheme="minorEastAsia" w:cstheme="minorEastAsia"/>
                <w:color w:val="auto"/>
                <w:kern w:val="0"/>
                <w:sz w:val="22"/>
                <w:szCs w:val="22"/>
              </w:rPr>
              <w:t>网络市场监管局际联席会议各成员单位、</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农业农村局、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教育局、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交通局、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住建局</w:t>
            </w:r>
          </w:p>
        </w:tc>
      </w:tr>
      <w:tr>
        <w:tblPrEx>
          <w:tblCellMar>
            <w:top w:w="0" w:type="dxa"/>
            <w:left w:w="108" w:type="dxa"/>
            <w:bottom w:w="0" w:type="dxa"/>
            <w:right w:w="108" w:type="dxa"/>
          </w:tblCellMar>
        </w:tblPrEx>
        <w:trPr>
          <w:trHeight w:val="3402" w:hRule="atLeast"/>
          <w:jc w:val="center"/>
        </w:trPr>
        <w:tc>
          <w:tcPr>
            <w:tcW w:w="7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kern w:val="0"/>
                <w:sz w:val="22"/>
                <w:szCs w:val="22"/>
              </w:rPr>
              <w:t>规范监管（25分）</w:t>
            </w:r>
          </w:p>
        </w:tc>
        <w:tc>
          <w:tcPr>
            <w:tcW w:w="78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kern w:val="0"/>
                <w:sz w:val="22"/>
                <w:szCs w:val="22"/>
              </w:rPr>
              <w:t>完善监管（15分）</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14</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完善事前事中事后监管。</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（3分）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w:t>
            </w:r>
            <w:r>
              <w:rPr>
                <w:rFonts w:hint="eastAsia" w:asciiTheme="minorEastAsia" w:hAnsiTheme="minorEastAsia" w:eastAsiaTheme="minorEastAsia" w:cstheme="minorEastAsia"/>
                <w:color w:val="auto"/>
                <w:spacing w:val="11"/>
                <w:kern w:val="0"/>
                <w:sz w:val="22"/>
                <w:szCs w:val="22"/>
              </w:rPr>
              <w:t>灵活运用行政指导、行政约谈、提醒告诫、警示通报等柔性手段，加强事前指导，督促网络交易经营者依法合规经营；（1分）</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2.建立健全网络监测和监督抽查机制，及时发现和处置网络市场风险隐患；（1分）</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3.</w:t>
            </w:r>
            <w:r>
              <w:rPr>
                <w:rFonts w:hint="eastAsia" w:asciiTheme="minorEastAsia" w:hAnsiTheme="minorEastAsia" w:eastAsiaTheme="minorEastAsia" w:cstheme="minorEastAsia"/>
                <w:color w:val="auto"/>
                <w:spacing w:val="6"/>
                <w:kern w:val="0"/>
                <w:sz w:val="22"/>
                <w:szCs w:val="22"/>
              </w:rPr>
              <w:t>综合运用行政检查、行政处罚、强制检查等手段，强化对违法行为的事中事后监管。（1分）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eastAsia="zh-CN"/>
              </w:rPr>
              <w:t>万荣县</w:t>
            </w:r>
            <w:r>
              <w:rPr>
                <w:rFonts w:hint="eastAsia" w:asciiTheme="minorEastAsia" w:hAnsiTheme="minorEastAsia" w:eastAsiaTheme="minorEastAsia" w:cstheme="minorEastAsia"/>
                <w:color w:val="auto"/>
                <w:kern w:val="0"/>
                <w:sz w:val="22"/>
                <w:szCs w:val="22"/>
              </w:rPr>
              <w:t>网络市场监管局际联席会议各成员单位、</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农业农村局、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教育局、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交通局、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住建局</w:t>
            </w:r>
          </w:p>
        </w:tc>
      </w:tr>
      <w:tr>
        <w:tblPrEx>
          <w:tblCellMar>
            <w:top w:w="0" w:type="dxa"/>
            <w:left w:w="108" w:type="dxa"/>
            <w:bottom w:w="0" w:type="dxa"/>
            <w:right w:w="108" w:type="dxa"/>
          </w:tblCellMar>
        </w:tblPrEx>
        <w:trPr>
          <w:trHeight w:val="2268" w:hRule="atLeast"/>
          <w:jc w:val="center"/>
        </w:trPr>
        <w:tc>
          <w:tcPr>
            <w:tcW w:w="740" w:type="dxa"/>
            <w:vMerge w:val="continue"/>
            <w:tcBorders>
              <w:left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both"/>
              <w:rPr>
                <w:rFonts w:hint="eastAsia" w:asciiTheme="minorEastAsia" w:hAnsiTheme="minorEastAsia" w:eastAsiaTheme="minorEastAsia" w:cstheme="minorEastAsia"/>
                <w:color w:val="auto"/>
                <w:sz w:val="22"/>
                <w:szCs w:val="22"/>
              </w:rPr>
            </w:pPr>
          </w:p>
        </w:tc>
        <w:tc>
          <w:tcPr>
            <w:tcW w:w="78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both"/>
              <w:rPr>
                <w:rFonts w:hint="eastAsia" w:asciiTheme="minorEastAsia" w:hAnsiTheme="minorEastAsia" w:eastAsiaTheme="minorEastAsia" w:cstheme="minorEastAsia"/>
                <w:color w:val="auto"/>
                <w:sz w:val="22"/>
                <w:szCs w:val="22"/>
              </w:rPr>
            </w:pP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15</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构建社会共治格局。（3分）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1.坚持线上线下一体化监管原则，实现审批与监管权责统一；（1分）</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w:t>
            </w:r>
            <w:r>
              <w:rPr>
                <w:rFonts w:hint="eastAsia" w:asciiTheme="minorEastAsia" w:hAnsiTheme="minorEastAsia" w:eastAsiaTheme="minorEastAsia" w:cstheme="minorEastAsia"/>
                <w:color w:val="auto"/>
                <w:spacing w:val="11"/>
                <w:kern w:val="0"/>
                <w:sz w:val="22"/>
                <w:szCs w:val="22"/>
              </w:rPr>
              <w:t>推动行业自律，建立平台企业合规制度；（1分）</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3.推进政府、平台、行业组织和社会各界的沟通协作，形成共治合力。（1分）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eastAsia="zh-CN"/>
              </w:rPr>
              <w:t>万荣县</w:t>
            </w:r>
            <w:r>
              <w:rPr>
                <w:rFonts w:hint="eastAsia" w:asciiTheme="minorEastAsia" w:hAnsiTheme="minorEastAsia" w:eastAsiaTheme="minorEastAsia" w:cstheme="minorEastAsia"/>
                <w:color w:val="auto"/>
                <w:kern w:val="0"/>
                <w:sz w:val="22"/>
                <w:szCs w:val="22"/>
              </w:rPr>
              <w:t>网络市场监管局际联席会议各成员单位、</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农业农村局、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教育局、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交通局、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住建局</w:t>
            </w:r>
            <w:r>
              <w:rPr>
                <w:rFonts w:hint="eastAsia" w:asciiTheme="minorEastAsia" w:hAnsiTheme="minorEastAsia" w:eastAsiaTheme="minorEastAsia" w:cstheme="minorEastAsia"/>
                <w:color w:val="auto"/>
                <w:kern w:val="0"/>
                <w:sz w:val="22"/>
                <w:szCs w:val="22"/>
                <w:lang w:eastAsia="zh-CN"/>
              </w:rPr>
              <w:t>、</w:t>
            </w:r>
            <w:r>
              <w:rPr>
                <w:rFonts w:hint="eastAsia" w:asciiTheme="minorEastAsia" w:hAnsiTheme="minorEastAsia" w:eastAsiaTheme="minorEastAsia" w:cstheme="minorEastAsia"/>
                <w:color w:val="auto"/>
                <w:kern w:val="0"/>
                <w:sz w:val="22"/>
                <w:szCs w:val="22"/>
                <w:lang w:val="en-US" w:eastAsia="zh-CN"/>
              </w:rPr>
              <w:t>县电商协会</w:t>
            </w:r>
          </w:p>
        </w:tc>
      </w:tr>
      <w:tr>
        <w:tblPrEx>
          <w:tblCellMar>
            <w:top w:w="0" w:type="dxa"/>
            <w:left w:w="108" w:type="dxa"/>
            <w:bottom w:w="0" w:type="dxa"/>
            <w:right w:w="108" w:type="dxa"/>
          </w:tblCellMar>
        </w:tblPrEx>
        <w:trPr>
          <w:trHeight w:val="1803" w:hRule="atLeast"/>
          <w:jc w:val="center"/>
        </w:trPr>
        <w:tc>
          <w:tcPr>
            <w:tcW w:w="7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both"/>
              <w:rPr>
                <w:rFonts w:hint="eastAsia" w:asciiTheme="minorEastAsia" w:hAnsiTheme="minorEastAsia" w:eastAsiaTheme="minorEastAsia" w:cstheme="minorEastAsia"/>
                <w:color w:val="auto"/>
                <w:sz w:val="22"/>
                <w:szCs w:val="22"/>
              </w:rPr>
            </w:pP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规范执法（10分）</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16</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健全规范网络执法办案制度机制。（3分）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制定规范网络执法办案流程、在线取证等方面的文件，或者建立规范网络执法办案的工作机制。（3分）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eastAsia="zh-CN"/>
              </w:rPr>
              <w:t>万荣县</w:t>
            </w:r>
            <w:r>
              <w:rPr>
                <w:rFonts w:hint="eastAsia" w:asciiTheme="minorEastAsia" w:hAnsiTheme="minorEastAsia" w:eastAsiaTheme="minorEastAsia" w:cstheme="minorEastAsia"/>
                <w:color w:val="auto"/>
                <w:kern w:val="0"/>
                <w:sz w:val="22"/>
                <w:szCs w:val="22"/>
              </w:rPr>
              <w:t>网络市场监管局际联席会议各成员单位、</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农业农村局、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教育局、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交通局、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住建局</w:t>
            </w:r>
          </w:p>
        </w:tc>
      </w:tr>
      <w:tr>
        <w:tblPrEx>
          <w:tblCellMar>
            <w:top w:w="0" w:type="dxa"/>
            <w:left w:w="108" w:type="dxa"/>
            <w:bottom w:w="0" w:type="dxa"/>
            <w:right w:w="108" w:type="dxa"/>
          </w:tblCellMar>
        </w:tblPrEx>
        <w:trPr>
          <w:trHeight w:val="2494" w:hRule="atLeast"/>
          <w:jc w:val="center"/>
        </w:trPr>
        <w:tc>
          <w:tcPr>
            <w:tcW w:w="7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规范监管（25分）</w:t>
            </w:r>
          </w:p>
        </w:tc>
        <w:tc>
          <w:tcPr>
            <w:tcW w:w="78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规范执法（10分）</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17</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定量+定性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严厉查处涉网违法案件。</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（3分）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1.涉网违法案件线索举报按时核查率大于95%；（1分）</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2.上级机关交办、督办的涉网违法案件线索处置及时率和完成率大于90%；（1分）</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3.涉网违法案件行政执法与刑事司法衔接机制有效运行。（1分）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方式：资料审查、数据比对。</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1.国家12315平台；</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2.国家网络交易监管平台；</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3.创建对象提供。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eastAsia="zh-CN"/>
              </w:rPr>
              <w:t>万荣县</w:t>
            </w:r>
            <w:r>
              <w:rPr>
                <w:rFonts w:hint="eastAsia" w:asciiTheme="minorEastAsia" w:hAnsiTheme="minorEastAsia" w:eastAsiaTheme="minorEastAsia" w:cstheme="minorEastAsia"/>
                <w:color w:val="auto"/>
                <w:kern w:val="0"/>
                <w:sz w:val="22"/>
                <w:szCs w:val="22"/>
              </w:rPr>
              <w:t>网络市场监管局际联席会议各成员单位、</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农业农村局、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教育局、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交通局、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住建局</w:t>
            </w:r>
          </w:p>
        </w:tc>
      </w:tr>
      <w:tr>
        <w:tblPrEx>
          <w:tblCellMar>
            <w:top w:w="0" w:type="dxa"/>
            <w:left w:w="108" w:type="dxa"/>
            <w:bottom w:w="0" w:type="dxa"/>
            <w:right w:w="108" w:type="dxa"/>
          </w:tblCellMar>
        </w:tblPrEx>
        <w:trPr>
          <w:trHeight w:val="2494" w:hRule="atLeast"/>
          <w:jc w:val="center"/>
        </w:trPr>
        <w:tc>
          <w:tcPr>
            <w:tcW w:w="740" w:type="dxa"/>
            <w:vMerge w:val="continue"/>
            <w:tcBorders>
              <w:left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789" w:type="dxa"/>
            <w:vMerge w:val="continue"/>
            <w:tcBorders>
              <w:left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18</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定量+定性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依法依规依程序办理涉网违法案件。</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1.涉网违法案件维持率、胜诉率超过95%；（1分）</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2.无程序性违法导致行政复议被撤销或确认违法、行政败诉的涉网案件。（1分）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eastAsia="zh-CN"/>
              </w:rPr>
              <w:t>万荣县</w:t>
            </w:r>
            <w:r>
              <w:rPr>
                <w:rFonts w:hint="eastAsia" w:asciiTheme="minorEastAsia" w:hAnsiTheme="minorEastAsia" w:eastAsiaTheme="minorEastAsia" w:cstheme="minorEastAsia"/>
                <w:color w:val="auto"/>
                <w:kern w:val="0"/>
                <w:sz w:val="22"/>
                <w:szCs w:val="22"/>
              </w:rPr>
              <w:t>网络市场监管局际联席会议各成员单位、</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农业农村局、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教育局、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交通局、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住建局</w:t>
            </w:r>
            <w:r>
              <w:rPr>
                <w:rFonts w:hint="eastAsia" w:asciiTheme="minorEastAsia" w:hAnsiTheme="minorEastAsia" w:eastAsiaTheme="minorEastAsia" w:cstheme="minorEastAsia"/>
                <w:color w:val="auto"/>
                <w:kern w:val="0"/>
                <w:sz w:val="22"/>
                <w:szCs w:val="22"/>
                <w:lang w:eastAsia="zh-CN"/>
              </w:rPr>
              <w:t>、</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司法局</w:t>
            </w:r>
          </w:p>
        </w:tc>
      </w:tr>
      <w:tr>
        <w:tblPrEx>
          <w:tblCellMar>
            <w:top w:w="0" w:type="dxa"/>
            <w:left w:w="108" w:type="dxa"/>
            <w:bottom w:w="0" w:type="dxa"/>
            <w:right w:w="108" w:type="dxa"/>
          </w:tblCellMar>
        </w:tblPrEx>
        <w:trPr>
          <w:trHeight w:val="2494" w:hRule="atLeast"/>
          <w:jc w:val="center"/>
        </w:trPr>
        <w:tc>
          <w:tcPr>
            <w:tcW w:w="7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78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19</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定量</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运用国家网络交易监管平台，提升涉网案件办理的精准性、有效性。（2分）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1.国家网络交易监管平台分发的监测信息核查及时率大于90%；（1分）</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2.国家网络交易监管平台分发的监测信息核查完成率大于90%。（1分）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方式：数据比对。</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11"/>
                <w:kern w:val="0"/>
                <w:sz w:val="22"/>
                <w:szCs w:val="22"/>
              </w:rPr>
              <w:t>国家网络交易监管平台。</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市场监管局</w:t>
            </w:r>
          </w:p>
        </w:tc>
      </w:tr>
      <w:tr>
        <w:tblPrEx>
          <w:tblCellMar>
            <w:top w:w="0" w:type="dxa"/>
            <w:left w:w="108" w:type="dxa"/>
            <w:bottom w:w="0" w:type="dxa"/>
            <w:right w:w="108" w:type="dxa"/>
          </w:tblCellMar>
        </w:tblPrEx>
        <w:trPr>
          <w:trHeight w:val="3288" w:hRule="atLeast"/>
          <w:jc w:val="center"/>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优化服务（20分）</w:t>
            </w:r>
          </w:p>
        </w:tc>
        <w:tc>
          <w:tcPr>
            <w:tcW w:w="7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服务网络经营（11分）</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20</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pacing w:val="6"/>
                <w:kern w:val="0"/>
                <w:sz w:val="22"/>
                <w:szCs w:val="22"/>
              </w:rPr>
            </w:pPr>
            <w:r>
              <w:rPr>
                <w:rFonts w:hint="eastAsia" w:asciiTheme="minorEastAsia" w:hAnsiTheme="minorEastAsia" w:eastAsiaTheme="minorEastAsia" w:cstheme="minorEastAsia"/>
                <w:color w:val="auto"/>
                <w:spacing w:val="6"/>
                <w:kern w:val="0"/>
                <w:sz w:val="22"/>
                <w:szCs w:val="22"/>
              </w:rPr>
              <w:t>提供便民利企服务，优化网络经济发展环境。</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（3分）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1.优化流程、简化环节，持续推进网络市场主体登记注册便利化、规范化；（1分）</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2.提供在线办理、一网通办、掌上办理、减税降费等便民利企举措；（1分）</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3.支持平台企业提高服务平台内经营者、从业人员的水平，加强网络交易经营者、从业人员权益保护，通过国家网络交易监管平台、电子营业执照系统等提供身份信息核验等服务。（1分）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sz w:val="22"/>
                <w:szCs w:val="22"/>
                <w:lang w:eastAsia="zh-CN"/>
              </w:rPr>
              <w:t>行政审批局</w:t>
            </w:r>
            <w:r>
              <w:rPr>
                <w:rFonts w:hint="eastAsia" w:asciiTheme="minorEastAsia" w:hAnsiTheme="minorEastAsia" w:eastAsiaTheme="minorEastAsia" w:cstheme="minorEastAsia"/>
                <w:color w:val="auto"/>
                <w:sz w:val="22"/>
                <w:szCs w:val="22"/>
              </w:rPr>
              <w:t>、</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sz w:val="22"/>
                <w:szCs w:val="22"/>
              </w:rPr>
              <w:t>税务局、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市场监管局</w:t>
            </w:r>
          </w:p>
        </w:tc>
      </w:tr>
      <w:tr>
        <w:tblPrEx>
          <w:tblCellMar>
            <w:top w:w="0" w:type="dxa"/>
            <w:left w:w="108" w:type="dxa"/>
            <w:bottom w:w="0" w:type="dxa"/>
            <w:right w:w="108" w:type="dxa"/>
          </w:tblCellMar>
        </w:tblPrEx>
        <w:trPr>
          <w:trHeight w:val="2098" w:hRule="atLeast"/>
          <w:jc w:val="center"/>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p>
        </w:tc>
        <w:tc>
          <w:tcPr>
            <w:tcW w:w="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21</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Theme="minorEastAsia" w:hAnsiTheme="minorEastAsia" w:eastAsiaTheme="minorEastAsia" w:cstheme="minorEastAsia"/>
                <w:color w:val="auto"/>
                <w:spacing w:val="6"/>
                <w:kern w:val="0"/>
                <w:sz w:val="22"/>
                <w:szCs w:val="22"/>
              </w:rPr>
            </w:pPr>
            <w:r>
              <w:rPr>
                <w:rFonts w:hint="eastAsia" w:asciiTheme="minorEastAsia" w:hAnsiTheme="minorEastAsia" w:eastAsiaTheme="minorEastAsia" w:cstheme="minorEastAsia"/>
                <w:color w:val="auto"/>
                <w:spacing w:val="6"/>
                <w:kern w:val="0"/>
                <w:sz w:val="22"/>
                <w:szCs w:val="22"/>
              </w:rPr>
              <w:t>支持品牌建设、质量提升，促进高质量发展。</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1.引导网络交易经营者加强品牌建设，推动网络交易经营者知识产权保护意识持续提升；（1分）</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w:t>
            </w:r>
            <w:r>
              <w:rPr>
                <w:rFonts w:hint="eastAsia" w:asciiTheme="minorEastAsia" w:hAnsiTheme="minorEastAsia" w:eastAsiaTheme="minorEastAsia" w:cstheme="minorEastAsia"/>
                <w:color w:val="auto"/>
                <w:spacing w:val="6"/>
                <w:kern w:val="0"/>
                <w:sz w:val="22"/>
                <w:szCs w:val="22"/>
              </w:rPr>
              <w:t>加强标准、计量、认证认可、检验检测等质量技术服务，推动网络市场质量提升。（1分）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市场监管局、</w:t>
            </w:r>
            <w:r>
              <w:rPr>
                <w:rFonts w:hint="eastAsia" w:asciiTheme="minorEastAsia" w:hAnsiTheme="minorEastAsia" w:eastAsiaTheme="minorEastAsia" w:cstheme="minorEastAsia"/>
                <w:color w:val="auto"/>
                <w:kern w:val="0"/>
                <w:sz w:val="22"/>
                <w:szCs w:val="22"/>
                <w:lang w:val="en-US" w:eastAsia="zh-CN"/>
              </w:rPr>
              <w:t>县工科局</w:t>
            </w:r>
            <w:r>
              <w:rPr>
                <w:rFonts w:hint="eastAsia" w:asciiTheme="minorEastAsia" w:hAnsiTheme="minorEastAsia" w:eastAsiaTheme="minorEastAsia" w:cstheme="minorEastAsia"/>
                <w:color w:val="auto"/>
                <w:kern w:val="0"/>
                <w:sz w:val="22"/>
                <w:szCs w:val="22"/>
                <w:lang w:eastAsia="zh-CN"/>
              </w:rPr>
              <w:t>、</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lang w:eastAsia="zh-CN"/>
              </w:rPr>
              <w:t>发改</w:t>
            </w:r>
            <w:r>
              <w:rPr>
                <w:rFonts w:hint="eastAsia" w:asciiTheme="minorEastAsia" w:hAnsiTheme="minorEastAsia" w:eastAsiaTheme="minorEastAsia" w:cstheme="minorEastAsia"/>
                <w:color w:val="auto"/>
                <w:kern w:val="0"/>
                <w:sz w:val="22"/>
                <w:szCs w:val="22"/>
                <w:lang w:val="en-US" w:eastAsia="zh-CN"/>
              </w:rPr>
              <w:t>局</w:t>
            </w:r>
            <w:r>
              <w:rPr>
                <w:rFonts w:hint="eastAsia" w:asciiTheme="minorEastAsia" w:hAnsiTheme="minorEastAsia" w:eastAsiaTheme="minorEastAsia" w:cstheme="minorEastAsia"/>
                <w:color w:val="auto"/>
                <w:kern w:val="0"/>
                <w:sz w:val="22"/>
                <w:szCs w:val="22"/>
              </w:rPr>
              <w:t>、</w:t>
            </w:r>
            <w:r>
              <w:rPr>
                <w:rFonts w:hint="eastAsia" w:asciiTheme="minorEastAsia" w:hAnsiTheme="minorEastAsia" w:eastAsiaTheme="minorEastAsia" w:cstheme="minorEastAsia"/>
                <w:color w:val="auto"/>
                <w:kern w:val="0"/>
                <w:sz w:val="22"/>
                <w:szCs w:val="22"/>
                <w:lang w:val="en-US" w:eastAsia="zh-CN"/>
              </w:rPr>
              <w:t>县文旅局、县</w:t>
            </w:r>
            <w:r>
              <w:rPr>
                <w:rFonts w:hint="eastAsia" w:asciiTheme="minorEastAsia" w:hAnsiTheme="minorEastAsia" w:eastAsiaTheme="minorEastAsia" w:cstheme="minorEastAsia"/>
                <w:color w:val="auto"/>
                <w:kern w:val="0"/>
                <w:sz w:val="22"/>
                <w:szCs w:val="22"/>
              </w:rPr>
              <w:t>农业农村局、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教育局、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交通局、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住建局</w:t>
            </w:r>
          </w:p>
        </w:tc>
      </w:tr>
      <w:tr>
        <w:tblPrEx>
          <w:tblCellMar>
            <w:top w:w="0" w:type="dxa"/>
            <w:left w:w="108" w:type="dxa"/>
            <w:bottom w:w="0" w:type="dxa"/>
            <w:right w:w="108" w:type="dxa"/>
          </w:tblCellMar>
        </w:tblPrEx>
        <w:trPr>
          <w:trHeight w:val="2098" w:hRule="atLeast"/>
          <w:jc w:val="center"/>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p>
        </w:tc>
        <w:tc>
          <w:tcPr>
            <w:tcW w:w="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22</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提升公共服务水平，激发网络经营者创业创新活力。</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（3分）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1.提供一体化、一站式政务服务；（1分）</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2.建立帮扶机制，开展交流、培训，加强网络市场人才培养等；（1分）</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3.运用市场机制，引入平台企业、社会资本等参与公共服务资源数字化，丰富公平普惠、全时全域的公共服务。（1分）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lang w:eastAsia="zh-CN"/>
              </w:rPr>
              <w:t>行政审批局</w:t>
            </w:r>
            <w:r>
              <w:rPr>
                <w:rFonts w:hint="eastAsia" w:asciiTheme="minorEastAsia" w:hAnsiTheme="minorEastAsia" w:eastAsiaTheme="minorEastAsia" w:cstheme="minorEastAsia"/>
                <w:color w:val="auto"/>
                <w:kern w:val="0"/>
                <w:sz w:val="22"/>
                <w:szCs w:val="22"/>
              </w:rPr>
              <w:t>、</w:t>
            </w:r>
            <w:r>
              <w:rPr>
                <w:rFonts w:hint="eastAsia" w:asciiTheme="minorEastAsia" w:hAnsiTheme="minorEastAsia" w:eastAsiaTheme="minorEastAsia" w:cstheme="minorEastAsia"/>
                <w:color w:val="auto"/>
                <w:kern w:val="0"/>
                <w:sz w:val="22"/>
                <w:szCs w:val="22"/>
                <w:lang w:val="en-US" w:eastAsia="zh-CN"/>
              </w:rPr>
              <w:t>县工科局</w:t>
            </w:r>
            <w:r>
              <w:rPr>
                <w:rFonts w:hint="eastAsia" w:asciiTheme="minorEastAsia" w:hAnsiTheme="minorEastAsia" w:eastAsiaTheme="minorEastAsia" w:cstheme="minorEastAsia"/>
                <w:color w:val="auto"/>
                <w:kern w:val="0"/>
                <w:sz w:val="22"/>
                <w:szCs w:val="22"/>
              </w:rPr>
              <w:t>、</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人社局</w:t>
            </w:r>
            <w:r>
              <w:rPr>
                <w:rFonts w:hint="eastAsia" w:asciiTheme="minorEastAsia" w:hAnsiTheme="minorEastAsia" w:eastAsiaTheme="minorEastAsia" w:cstheme="minorEastAsia"/>
                <w:color w:val="auto"/>
                <w:kern w:val="0"/>
                <w:sz w:val="22"/>
                <w:szCs w:val="22"/>
                <w:lang w:eastAsia="zh-CN"/>
              </w:rPr>
              <w:t>、</w:t>
            </w:r>
            <w:r>
              <w:rPr>
                <w:rFonts w:hint="eastAsia" w:asciiTheme="minorEastAsia" w:hAnsiTheme="minorEastAsia" w:eastAsiaTheme="minorEastAsia" w:cstheme="minorEastAsia"/>
                <w:color w:val="auto"/>
                <w:kern w:val="0"/>
                <w:sz w:val="22"/>
                <w:szCs w:val="22"/>
                <w:lang w:val="en-US" w:eastAsia="zh-CN"/>
              </w:rPr>
              <w:t>县金融服务中心、人行万荣支行</w:t>
            </w:r>
          </w:p>
        </w:tc>
      </w:tr>
      <w:tr>
        <w:tblPrEx>
          <w:tblCellMar>
            <w:top w:w="0" w:type="dxa"/>
            <w:left w:w="108" w:type="dxa"/>
            <w:bottom w:w="0" w:type="dxa"/>
            <w:right w:w="108" w:type="dxa"/>
          </w:tblCellMar>
        </w:tblPrEx>
        <w:trPr>
          <w:trHeight w:val="2891" w:hRule="atLeast"/>
          <w:jc w:val="center"/>
        </w:trPr>
        <w:tc>
          <w:tcPr>
            <w:tcW w:w="7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优化服务（20分）</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服务网络经营（11分）</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23</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强化信息基础设施建设，提升网络交易经营者数字化竞争力。（3分）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w:t>
            </w:r>
            <w:r>
              <w:rPr>
                <w:rFonts w:hint="eastAsia" w:asciiTheme="minorEastAsia" w:hAnsiTheme="minorEastAsia" w:eastAsiaTheme="minorEastAsia" w:cstheme="minorEastAsia"/>
                <w:color w:val="auto"/>
                <w:spacing w:val="6"/>
                <w:kern w:val="0"/>
                <w:sz w:val="22"/>
                <w:szCs w:val="22"/>
              </w:rPr>
              <w:t>强化网络基础设施和新型基础设施建设，服务平台经济、数字经济发展；（1分）</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2.加强政务数据开放共享，在数据贡献、资源整合、风险防控、政策指导等方面开展政企合作；（1分）</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3.引导平台企业、科技型企业利用数字技术赋能中小企业、实体经济。（1分）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lang w:eastAsia="zh-CN"/>
              </w:rPr>
              <w:t>行政审批局</w:t>
            </w:r>
            <w:r>
              <w:rPr>
                <w:rFonts w:hint="eastAsia" w:asciiTheme="minorEastAsia" w:hAnsiTheme="minorEastAsia" w:eastAsiaTheme="minorEastAsia" w:cstheme="minorEastAsia"/>
                <w:color w:val="auto"/>
                <w:kern w:val="0"/>
                <w:sz w:val="22"/>
                <w:szCs w:val="22"/>
              </w:rPr>
              <w:t>、</w:t>
            </w:r>
            <w:r>
              <w:rPr>
                <w:rFonts w:hint="eastAsia" w:asciiTheme="minorEastAsia" w:hAnsiTheme="minorEastAsia" w:eastAsiaTheme="minorEastAsia" w:cstheme="minorEastAsia"/>
                <w:color w:val="auto"/>
                <w:kern w:val="0"/>
                <w:sz w:val="22"/>
                <w:szCs w:val="22"/>
                <w:lang w:val="en-US" w:eastAsia="zh-CN"/>
              </w:rPr>
              <w:t>县工科局</w:t>
            </w:r>
          </w:p>
        </w:tc>
      </w:tr>
      <w:tr>
        <w:tblPrEx>
          <w:tblCellMar>
            <w:top w:w="0" w:type="dxa"/>
            <w:left w:w="108" w:type="dxa"/>
            <w:bottom w:w="0" w:type="dxa"/>
            <w:right w:w="108" w:type="dxa"/>
          </w:tblCellMar>
        </w:tblPrEx>
        <w:trPr>
          <w:trHeight w:val="2296" w:hRule="atLeast"/>
          <w:jc w:val="center"/>
        </w:trPr>
        <w:tc>
          <w:tcPr>
            <w:tcW w:w="740" w:type="dxa"/>
            <w:vMerge w:val="continue"/>
            <w:tcBorders>
              <w:left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p>
        </w:tc>
        <w:tc>
          <w:tcPr>
            <w:tcW w:w="7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服务网络消费（9分）</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24</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积极开展网络消费教育和消费警示，提高消费者维权能力和意识。</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w:t>
            </w:r>
            <w:r>
              <w:rPr>
                <w:rFonts w:hint="eastAsia" w:asciiTheme="minorEastAsia" w:hAnsiTheme="minorEastAsia" w:eastAsiaTheme="minorEastAsia" w:cstheme="minorEastAsia"/>
                <w:color w:val="auto"/>
                <w:spacing w:val="11"/>
                <w:kern w:val="0"/>
                <w:sz w:val="22"/>
                <w:szCs w:val="22"/>
              </w:rPr>
              <w:t>多形式多媒介开展网络消费教育、引导；</w:t>
            </w:r>
            <w:r>
              <w:rPr>
                <w:rFonts w:hint="eastAsia" w:asciiTheme="minorEastAsia" w:hAnsiTheme="minorEastAsia" w:eastAsiaTheme="minorEastAsia" w:cstheme="minorEastAsia"/>
                <w:color w:val="auto"/>
                <w:kern w:val="0"/>
                <w:sz w:val="22"/>
                <w:szCs w:val="22"/>
              </w:rPr>
              <w:t>（1分）</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w:t>
            </w:r>
            <w:r>
              <w:rPr>
                <w:rFonts w:hint="eastAsia" w:asciiTheme="minorEastAsia" w:hAnsiTheme="minorEastAsia" w:eastAsiaTheme="minorEastAsia" w:cstheme="minorEastAsia"/>
                <w:color w:val="auto"/>
                <w:spacing w:val="11"/>
                <w:kern w:val="0"/>
                <w:sz w:val="22"/>
                <w:szCs w:val="22"/>
              </w:rPr>
              <w:t>多形式多媒介开展网络消费提示、警示。</w:t>
            </w:r>
            <w:r>
              <w:rPr>
                <w:rFonts w:hint="eastAsia" w:asciiTheme="minorEastAsia" w:hAnsiTheme="minorEastAsia" w:eastAsiaTheme="minorEastAsia" w:cstheme="minorEastAsia"/>
                <w:color w:val="auto"/>
                <w:spacing w:val="6"/>
                <w:kern w:val="0"/>
                <w:sz w:val="22"/>
                <w:szCs w:val="22"/>
              </w:rPr>
              <w:t>（</w:t>
            </w:r>
            <w:r>
              <w:rPr>
                <w:rFonts w:hint="eastAsia" w:asciiTheme="minorEastAsia" w:hAnsiTheme="minorEastAsia" w:eastAsiaTheme="minorEastAsia" w:cstheme="minorEastAsia"/>
                <w:color w:val="auto"/>
                <w:kern w:val="0"/>
                <w:sz w:val="22"/>
                <w:szCs w:val="22"/>
              </w:rPr>
              <w:t>1分）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pacing w:val="6"/>
                <w:kern w:val="0"/>
                <w:sz w:val="22"/>
                <w:szCs w:val="22"/>
              </w:rPr>
            </w:pPr>
            <w:r>
              <w:rPr>
                <w:rFonts w:hint="eastAsia" w:asciiTheme="minorEastAsia" w:hAnsiTheme="minorEastAsia" w:eastAsiaTheme="minorEastAsia" w:cstheme="minorEastAsia"/>
                <w:color w:val="auto"/>
                <w:spacing w:val="6"/>
                <w:kern w:val="0"/>
                <w:sz w:val="22"/>
                <w:szCs w:val="22"/>
                <w:lang w:val="en-US" w:eastAsia="zh-CN"/>
              </w:rPr>
              <w:t>县</w:t>
            </w:r>
            <w:r>
              <w:rPr>
                <w:rFonts w:hint="eastAsia" w:asciiTheme="minorEastAsia" w:hAnsiTheme="minorEastAsia" w:eastAsiaTheme="minorEastAsia" w:cstheme="minorEastAsia"/>
                <w:color w:val="auto"/>
                <w:spacing w:val="6"/>
                <w:kern w:val="0"/>
                <w:sz w:val="22"/>
                <w:szCs w:val="22"/>
              </w:rPr>
              <w:t>市场监管局</w:t>
            </w:r>
          </w:p>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pacing w:val="6"/>
                <w:kern w:val="0"/>
                <w:sz w:val="22"/>
                <w:szCs w:val="22"/>
                <w:lang w:eastAsia="zh-CN"/>
              </w:rPr>
            </w:pPr>
            <w:r>
              <w:rPr>
                <w:rFonts w:hint="eastAsia" w:asciiTheme="minorEastAsia" w:hAnsiTheme="minorEastAsia" w:eastAsiaTheme="minorEastAsia" w:cstheme="minorEastAsia"/>
                <w:color w:val="auto"/>
                <w:spacing w:val="6"/>
                <w:kern w:val="0"/>
                <w:sz w:val="22"/>
                <w:szCs w:val="22"/>
                <w:lang w:val="en-US" w:eastAsia="zh-CN"/>
              </w:rPr>
              <w:t>县</w:t>
            </w:r>
            <w:r>
              <w:rPr>
                <w:rFonts w:hint="eastAsia" w:asciiTheme="minorEastAsia" w:hAnsiTheme="minorEastAsia" w:eastAsiaTheme="minorEastAsia" w:cstheme="minorEastAsia"/>
                <w:color w:val="auto"/>
                <w:spacing w:val="6"/>
                <w:kern w:val="0"/>
                <w:sz w:val="22"/>
                <w:szCs w:val="22"/>
                <w:lang w:eastAsia="zh-CN"/>
              </w:rPr>
              <w:t>消费者协会</w:t>
            </w:r>
          </w:p>
        </w:tc>
      </w:tr>
      <w:tr>
        <w:tblPrEx>
          <w:tblCellMar>
            <w:top w:w="0" w:type="dxa"/>
            <w:left w:w="108" w:type="dxa"/>
            <w:bottom w:w="0" w:type="dxa"/>
            <w:right w:w="108" w:type="dxa"/>
          </w:tblCellMar>
        </w:tblPrEx>
        <w:trPr>
          <w:trHeight w:val="2296" w:hRule="atLeast"/>
          <w:jc w:val="center"/>
        </w:trPr>
        <w:tc>
          <w:tcPr>
            <w:tcW w:w="7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25</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定量+定性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Theme="minorEastAsia" w:hAnsiTheme="minorEastAsia" w:eastAsiaTheme="minorEastAsia" w:cstheme="minorEastAsia"/>
                <w:color w:val="auto"/>
                <w:spacing w:val="-11"/>
                <w:kern w:val="0"/>
                <w:sz w:val="22"/>
                <w:szCs w:val="22"/>
              </w:rPr>
            </w:pPr>
            <w:r>
              <w:rPr>
                <w:rFonts w:hint="eastAsia" w:asciiTheme="minorEastAsia" w:hAnsiTheme="minorEastAsia" w:eastAsiaTheme="minorEastAsia" w:cstheme="minorEastAsia"/>
                <w:color w:val="auto"/>
                <w:spacing w:val="-11"/>
                <w:kern w:val="0"/>
                <w:sz w:val="22"/>
                <w:szCs w:val="22"/>
              </w:rPr>
              <w:t>及时受理和依法处理网络消费投诉，提升消费者获得感。</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（3分）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1.网络消费投诉按时初查率、按时办结率超过95%；（1分）</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2.网络消费调解成功率大于全国调解成功率；（1分）</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3.消费者满意度高于全国平均水平。</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（1分）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1.全国12315平台；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2.创建对象提供。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pacing w:val="6"/>
                <w:kern w:val="0"/>
                <w:sz w:val="22"/>
                <w:szCs w:val="22"/>
              </w:rPr>
            </w:pPr>
            <w:r>
              <w:rPr>
                <w:rFonts w:hint="eastAsia" w:asciiTheme="minorEastAsia" w:hAnsiTheme="minorEastAsia" w:eastAsiaTheme="minorEastAsia" w:cstheme="minorEastAsia"/>
                <w:color w:val="auto"/>
                <w:spacing w:val="6"/>
                <w:kern w:val="0"/>
                <w:sz w:val="22"/>
                <w:szCs w:val="22"/>
                <w:lang w:val="en-US" w:eastAsia="zh-CN"/>
              </w:rPr>
              <w:t>县</w:t>
            </w:r>
            <w:r>
              <w:rPr>
                <w:rFonts w:hint="eastAsia" w:asciiTheme="minorEastAsia" w:hAnsiTheme="minorEastAsia" w:eastAsiaTheme="minorEastAsia" w:cstheme="minorEastAsia"/>
                <w:color w:val="auto"/>
                <w:spacing w:val="6"/>
                <w:kern w:val="0"/>
                <w:sz w:val="22"/>
                <w:szCs w:val="22"/>
              </w:rPr>
              <w:t>市场监管局</w:t>
            </w:r>
          </w:p>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pacing w:val="6"/>
                <w:kern w:val="0"/>
                <w:sz w:val="22"/>
                <w:szCs w:val="22"/>
                <w:lang w:eastAsia="zh-CN"/>
              </w:rPr>
            </w:pPr>
            <w:r>
              <w:rPr>
                <w:rFonts w:hint="eastAsia" w:asciiTheme="minorEastAsia" w:hAnsiTheme="minorEastAsia" w:eastAsiaTheme="minorEastAsia" w:cstheme="minorEastAsia"/>
                <w:color w:val="auto"/>
                <w:spacing w:val="6"/>
                <w:kern w:val="0"/>
                <w:sz w:val="22"/>
                <w:szCs w:val="22"/>
                <w:lang w:val="en-US" w:eastAsia="zh-CN"/>
              </w:rPr>
              <w:t>县</w:t>
            </w:r>
            <w:r>
              <w:rPr>
                <w:rFonts w:hint="eastAsia" w:asciiTheme="minorEastAsia" w:hAnsiTheme="minorEastAsia" w:eastAsiaTheme="minorEastAsia" w:cstheme="minorEastAsia"/>
                <w:color w:val="auto"/>
                <w:spacing w:val="6"/>
                <w:kern w:val="0"/>
                <w:sz w:val="22"/>
                <w:szCs w:val="22"/>
                <w:lang w:eastAsia="zh-CN"/>
              </w:rPr>
              <w:t>消费者协会</w:t>
            </w:r>
          </w:p>
        </w:tc>
      </w:tr>
      <w:tr>
        <w:tblPrEx>
          <w:tblCellMar>
            <w:top w:w="0" w:type="dxa"/>
            <w:left w:w="108" w:type="dxa"/>
            <w:bottom w:w="0" w:type="dxa"/>
            <w:right w:w="108" w:type="dxa"/>
          </w:tblCellMar>
        </w:tblPrEx>
        <w:trPr>
          <w:trHeight w:val="2211" w:hRule="atLeast"/>
          <w:jc w:val="center"/>
        </w:trPr>
        <w:tc>
          <w:tcPr>
            <w:tcW w:w="7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优化服务（20分）</w:t>
            </w:r>
          </w:p>
        </w:tc>
        <w:tc>
          <w:tcPr>
            <w:tcW w:w="78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服务网络消费（9分）</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26</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定性+定量</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健全消费纠纷多元化解机制，源头化解网络消费纠纷。（2分）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Style w:val="10"/>
                <w:rFonts w:hint="eastAsia" w:asciiTheme="minorEastAsia" w:hAnsiTheme="minorEastAsia" w:eastAsiaTheme="minorEastAsia" w:cstheme="minorEastAsia"/>
                <w:color w:val="auto"/>
                <w:sz w:val="22"/>
                <w:szCs w:val="22"/>
              </w:rPr>
            </w:pPr>
            <w:r>
              <w:rPr>
                <w:rStyle w:val="10"/>
                <w:rFonts w:hint="eastAsia" w:asciiTheme="minorEastAsia" w:hAnsiTheme="minorEastAsia" w:eastAsiaTheme="minorEastAsia" w:cstheme="minorEastAsia"/>
                <w:color w:val="auto"/>
                <w:sz w:val="22"/>
                <w:szCs w:val="22"/>
              </w:rPr>
              <w:t>1.建立健全消费纠纷多元化解机制，充分利用在线消费纠纷解决机制（ODR），所在地ODR单位按时办结率和和解成功率超过全国平均率；（1分）</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Style w:val="10"/>
                <w:rFonts w:hint="eastAsia" w:asciiTheme="minorEastAsia" w:hAnsiTheme="minorEastAsia" w:eastAsiaTheme="minorEastAsia" w:cstheme="minorEastAsia"/>
                <w:color w:val="auto"/>
                <w:sz w:val="22"/>
                <w:szCs w:val="22"/>
              </w:rPr>
            </w:pPr>
            <w:r>
              <w:rPr>
                <w:rStyle w:val="10"/>
                <w:rFonts w:hint="eastAsia" w:asciiTheme="minorEastAsia" w:hAnsiTheme="minorEastAsia" w:eastAsiaTheme="minorEastAsia" w:cstheme="minorEastAsia"/>
                <w:color w:val="auto"/>
                <w:sz w:val="22"/>
                <w:szCs w:val="22"/>
              </w:rPr>
              <w:t>2.引导平台企业加大消费者服务力度，源头化解消费纠纷。（1分）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1.全国12315平台；</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2.创建对象提供。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pacing w:val="6"/>
                <w:kern w:val="0"/>
                <w:sz w:val="22"/>
                <w:szCs w:val="22"/>
              </w:rPr>
            </w:pPr>
            <w:r>
              <w:rPr>
                <w:rFonts w:hint="eastAsia" w:asciiTheme="minorEastAsia" w:hAnsiTheme="minorEastAsia" w:eastAsiaTheme="minorEastAsia" w:cstheme="minorEastAsia"/>
                <w:color w:val="auto"/>
                <w:spacing w:val="6"/>
                <w:kern w:val="0"/>
                <w:sz w:val="22"/>
                <w:szCs w:val="22"/>
                <w:lang w:val="en-US" w:eastAsia="zh-CN"/>
              </w:rPr>
              <w:t>县</w:t>
            </w:r>
            <w:r>
              <w:rPr>
                <w:rFonts w:hint="eastAsia" w:asciiTheme="minorEastAsia" w:hAnsiTheme="minorEastAsia" w:eastAsiaTheme="minorEastAsia" w:cstheme="minorEastAsia"/>
                <w:color w:val="auto"/>
                <w:spacing w:val="6"/>
                <w:kern w:val="0"/>
                <w:sz w:val="22"/>
                <w:szCs w:val="22"/>
              </w:rPr>
              <w:t>市场监管局</w:t>
            </w:r>
          </w:p>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spacing w:val="6"/>
                <w:kern w:val="0"/>
                <w:sz w:val="22"/>
                <w:szCs w:val="22"/>
                <w:lang w:val="en-US" w:eastAsia="zh-CN"/>
              </w:rPr>
              <w:t>县</w:t>
            </w:r>
            <w:r>
              <w:rPr>
                <w:rFonts w:hint="eastAsia" w:asciiTheme="minorEastAsia" w:hAnsiTheme="minorEastAsia" w:eastAsiaTheme="minorEastAsia" w:cstheme="minorEastAsia"/>
                <w:color w:val="auto"/>
                <w:spacing w:val="6"/>
                <w:kern w:val="0"/>
                <w:sz w:val="22"/>
                <w:szCs w:val="22"/>
                <w:lang w:eastAsia="zh-CN"/>
              </w:rPr>
              <w:t>消费者协会</w:t>
            </w:r>
          </w:p>
        </w:tc>
      </w:tr>
      <w:tr>
        <w:tblPrEx>
          <w:tblCellMar>
            <w:top w:w="0" w:type="dxa"/>
            <w:left w:w="108" w:type="dxa"/>
            <w:bottom w:w="0" w:type="dxa"/>
            <w:right w:w="108" w:type="dxa"/>
          </w:tblCellMar>
        </w:tblPrEx>
        <w:trPr>
          <w:trHeight w:val="2211" w:hRule="atLeast"/>
          <w:jc w:val="center"/>
        </w:trPr>
        <w:tc>
          <w:tcPr>
            <w:tcW w:w="7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78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27</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鼓励和支持落实产品质量主体责任，源头提高和全程把控产品质量。（2分）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Style w:val="10"/>
                <w:rFonts w:hint="eastAsia" w:asciiTheme="minorEastAsia" w:hAnsiTheme="minorEastAsia" w:eastAsiaTheme="minorEastAsia" w:cstheme="minorEastAsia"/>
                <w:color w:val="auto"/>
                <w:sz w:val="22"/>
                <w:szCs w:val="22"/>
              </w:rPr>
            </w:pPr>
            <w:r>
              <w:rPr>
                <w:rStyle w:val="10"/>
                <w:rFonts w:hint="eastAsia" w:asciiTheme="minorEastAsia" w:hAnsiTheme="minorEastAsia" w:eastAsiaTheme="minorEastAsia" w:cstheme="minorEastAsia"/>
                <w:color w:val="auto"/>
                <w:sz w:val="22"/>
                <w:szCs w:val="22"/>
              </w:rPr>
              <w:t>1.鼓励和支持网络交易经营者推行产品质量安全追溯制度；（1分）</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Style w:val="10"/>
                <w:rFonts w:hint="eastAsia" w:asciiTheme="minorEastAsia" w:hAnsiTheme="minorEastAsia" w:eastAsiaTheme="minorEastAsia" w:cstheme="minorEastAsia"/>
                <w:color w:val="auto"/>
                <w:sz w:val="22"/>
                <w:szCs w:val="22"/>
              </w:rPr>
            </w:pPr>
            <w:r>
              <w:rPr>
                <w:rStyle w:val="10"/>
                <w:rFonts w:hint="eastAsia" w:asciiTheme="minorEastAsia" w:hAnsiTheme="minorEastAsia" w:eastAsiaTheme="minorEastAsia" w:cstheme="minorEastAsia"/>
                <w:color w:val="auto"/>
                <w:sz w:val="22"/>
                <w:szCs w:val="22"/>
              </w:rPr>
              <w:t>2.鼓励和支持网络交易经营者推行产品质量安全承诺制度。（1分）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市场监管局</w:t>
            </w:r>
          </w:p>
        </w:tc>
      </w:tr>
      <w:tr>
        <w:tblPrEx>
          <w:tblCellMar>
            <w:top w:w="0" w:type="dxa"/>
            <w:left w:w="108" w:type="dxa"/>
            <w:bottom w:w="0" w:type="dxa"/>
            <w:right w:w="108" w:type="dxa"/>
          </w:tblCellMar>
        </w:tblPrEx>
        <w:trPr>
          <w:trHeight w:val="3061"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探索创新（20分）</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创新工作（12分）</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28</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围绕食品、药品、特种设备和工业产品质量安全等重点领域强化网络市场监管的创新性实践。</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（3分）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1.运用大数据、云计算、人工智能等信息化手段及时归集和综合运用相关数据，提升监管精准性、协调性和有效性等方面的创新性实践；</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2.网络市场违法违规行为电子取证、网络交易经营者合规管理等方面开展的创新性实践；</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3.其他结合地方特色开展的创新性监管。</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符合一项即可得3分。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市场监管局</w:t>
            </w:r>
          </w:p>
        </w:tc>
      </w:tr>
      <w:tr>
        <w:tblPrEx>
          <w:tblCellMar>
            <w:top w:w="0" w:type="dxa"/>
            <w:left w:w="108" w:type="dxa"/>
            <w:bottom w:w="0" w:type="dxa"/>
            <w:right w:w="108" w:type="dxa"/>
          </w:tblCellMar>
        </w:tblPrEx>
        <w:trPr>
          <w:trHeight w:val="2494" w:hRule="atLeast"/>
          <w:jc w:val="center"/>
        </w:trPr>
        <w:tc>
          <w:tcPr>
            <w:tcW w:w="7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kern w:val="0"/>
                <w:sz w:val="22"/>
                <w:szCs w:val="22"/>
              </w:rPr>
              <w:t>探索创新（20分）</w:t>
            </w:r>
          </w:p>
        </w:tc>
        <w:tc>
          <w:tcPr>
            <w:tcW w:w="78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kern w:val="0"/>
                <w:sz w:val="22"/>
                <w:szCs w:val="22"/>
              </w:rPr>
              <w:t>创新工作（12分）</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29</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强化平台经济、数字经济发展规律研究，创新开展网络市场监管实践。（3分）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1.在新经济新模式新领域探索开展沙盒监管、触发式监管等前瞻性、创新性实践；</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2.引入行业协会、平台企业、媒体、公众和第三方机构等社会力量开展社会共治的创新性实践；</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3.其他结合地方特色开展的创新性监管。</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符合一项即可得3分。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eastAsia="zh-CN"/>
              </w:rPr>
              <w:t>万荣县</w:t>
            </w:r>
            <w:r>
              <w:rPr>
                <w:rFonts w:hint="eastAsia" w:asciiTheme="minorEastAsia" w:hAnsiTheme="minorEastAsia" w:eastAsiaTheme="minorEastAsia" w:cstheme="minorEastAsia"/>
                <w:color w:val="auto"/>
                <w:kern w:val="0"/>
                <w:sz w:val="22"/>
                <w:szCs w:val="22"/>
              </w:rPr>
              <w:t>网络市场监管局际联席会议各成员单位、</w:t>
            </w:r>
            <w:r>
              <w:rPr>
                <w:rFonts w:hint="eastAsia" w:asciiTheme="minorEastAsia" w:hAnsiTheme="minorEastAsia" w:eastAsiaTheme="minorEastAsia" w:cstheme="minorEastAsia"/>
                <w:color w:val="auto"/>
                <w:kern w:val="0"/>
                <w:sz w:val="22"/>
                <w:szCs w:val="22"/>
                <w:lang w:val="en-US" w:eastAsia="zh-CN"/>
              </w:rPr>
              <w:t>县工科局、县</w:t>
            </w:r>
            <w:r>
              <w:rPr>
                <w:rFonts w:hint="eastAsia" w:asciiTheme="minorEastAsia" w:hAnsiTheme="minorEastAsia" w:eastAsiaTheme="minorEastAsia" w:cstheme="minorEastAsia"/>
                <w:color w:val="auto"/>
                <w:kern w:val="0"/>
                <w:sz w:val="22"/>
                <w:szCs w:val="22"/>
              </w:rPr>
              <w:t>农业农村局、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教育局、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交通局、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住建局</w:t>
            </w:r>
          </w:p>
        </w:tc>
      </w:tr>
      <w:tr>
        <w:tblPrEx>
          <w:tblCellMar>
            <w:top w:w="0" w:type="dxa"/>
            <w:left w:w="108" w:type="dxa"/>
            <w:bottom w:w="0" w:type="dxa"/>
            <w:right w:w="108" w:type="dxa"/>
          </w:tblCellMar>
        </w:tblPrEx>
        <w:trPr>
          <w:trHeight w:val="2835" w:hRule="atLeast"/>
          <w:jc w:val="center"/>
        </w:trPr>
        <w:tc>
          <w:tcPr>
            <w:tcW w:w="740" w:type="dxa"/>
            <w:vMerge w:val="continue"/>
            <w:tcBorders>
              <w:left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789" w:type="dxa"/>
            <w:vMerge w:val="continue"/>
            <w:tcBorders>
              <w:left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30</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强化平台经济、数字经济发展规律研究，创新开展网络市场服务实践。（3分）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1.开展“互联网+”公共服务，在完善电子商务发展综合服务体系、政企数据共享等方面开展的创新性实践；</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2.降低制度性交易成本，鼓励创新提供适应平台经济、数字经济发展的社会公共服务和公共产品等方面的创新性实践；</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3.其他结合地方特色开展的创新性服务。</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符合一项即可得3分。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val="en-US" w:eastAsia="zh-CN"/>
              </w:rPr>
              <w:t>县发改局、县工科局</w:t>
            </w:r>
          </w:p>
        </w:tc>
      </w:tr>
      <w:tr>
        <w:tblPrEx>
          <w:tblCellMar>
            <w:top w:w="0" w:type="dxa"/>
            <w:left w:w="108" w:type="dxa"/>
            <w:bottom w:w="0" w:type="dxa"/>
            <w:right w:w="108" w:type="dxa"/>
          </w:tblCellMar>
        </w:tblPrEx>
        <w:trPr>
          <w:trHeight w:val="2154" w:hRule="atLeast"/>
          <w:jc w:val="center"/>
        </w:trPr>
        <w:tc>
          <w:tcPr>
            <w:tcW w:w="7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78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31</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促进平台经济、数字经济发展的创新实践。（3分）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1.促进线上线下融合发展，推动传统经济转型升级的创新性实践；</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2.培育网络经济新业态新产业，推动模式创新、场景创新、组织创新的实践；</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3.其他具有地方特色的创新性发展实践。</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符合一项即可得3分。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val="en-US" w:eastAsia="zh-CN"/>
              </w:rPr>
              <w:t>县发改局、县工科局</w:t>
            </w:r>
          </w:p>
        </w:tc>
      </w:tr>
      <w:tr>
        <w:tblPrEx>
          <w:tblCellMar>
            <w:top w:w="0" w:type="dxa"/>
            <w:left w:w="108" w:type="dxa"/>
            <w:bottom w:w="0" w:type="dxa"/>
            <w:right w:w="108" w:type="dxa"/>
          </w:tblCellMar>
        </w:tblPrEx>
        <w:trPr>
          <w:trHeight w:val="2200" w:hRule="atLeast"/>
          <w:jc w:val="center"/>
        </w:trPr>
        <w:tc>
          <w:tcPr>
            <w:tcW w:w="7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探索创新（20分）</w:t>
            </w:r>
          </w:p>
        </w:tc>
        <w:tc>
          <w:tcPr>
            <w:tcW w:w="7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创新效果（8分）</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32</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创新工作得到省级以上党委、政府和国务院有关部门的认可。</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（3分）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创新工作被省级以上党委、政府和国务院有关部门表彰表扬、宣传推广。（包括表彰表扬、会议交流、信息刊发、典型经验、领导批示等形式）（3分）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各成员单位</w:t>
            </w:r>
          </w:p>
        </w:tc>
      </w:tr>
      <w:tr>
        <w:tblPrEx>
          <w:tblCellMar>
            <w:top w:w="0" w:type="dxa"/>
            <w:left w:w="108" w:type="dxa"/>
            <w:bottom w:w="0" w:type="dxa"/>
            <w:right w:w="108" w:type="dxa"/>
          </w:tblCellMar>
        </w:tblPrEx>
        <w:trPr>
          <w:trHeight w:val="1757" w:hRule="atLeast"/>
          <w:jc w:val="center"/>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33</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创新工作被国家级和省部级媒体宣传报道。（3分）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1.创新工作被国家级媒体宣传报道；</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（2分）</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2.创新工作被省部级媒体宣传报道。</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（1分）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各成员单位</w:t>
            </w:r>
          </w:p>
        </w:tc>
      </w:tr>
      <w:tr>
        <w:tblPrEx>
          <w:tblCellMar>
            <w:top w:w="0" w:type="dxa"/>
            <w:left w:w="108" w:type="dxa"/>
            <w:bottom w:w="0" w:type="dxa"/>
            <w:right w:w="108" w:type="dxa"/>
          </w:tblCellMar>
        </w:tblPrEx>
        <w:trPr>
          <w:trHeight w:val="1757" w:hRule="atLeast"/>
          <w:jc w:val="center"/>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34</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定量</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创新工作形成制度化、标准化成果。（2分）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形成网络市场监管与服务有关法规、规章、规范性文件或标准。（有1项得1分，最高得2分）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各成员单位</w:t>
            </w:r>
          </w:p>
        </w:tc>
      </w:tr>
      <w:tr>
        <w:tblPrEx>
          <w:tblCellMar>
            <w:top w:w="0" w:type="dxa"/>
            <w:left w:w="108" w:type="dxa"/>
            <w:bottom w:w="0" w:type="dxa"/>
            <w:right w:w="108" w:type="dxa"/>
          </w:tblCellMar>
        </w:tblPrEx>
        <w:trPr>
          <w:trHeight w:val="1757"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综合保障（15分）</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组织机制保障（7分）</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35</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加强领导，统筹推动网络市场监管与服务工作。（2分）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党委、政府重视，将网络市场监管与服务相关工作列入工作规划或者重点工作。</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各成员单位</w:t>
            </w:r>
          </w:p>
        </w:tc>
      </w:tr>
      <w:tr>
        <w:tblPrEx>
          <w:tblCellMar>
            <w:top w:w="0" w:type="dxa"/>
            <w:left w:w="108" w:type="dxa"/>
            <w:bottom w:w="0" w:type="dxa"/>
            <w:right w:w="108" w:type="dxa"/>
          </w:tblCellMar>
        </w:tblPrEx>
        <w:trPr>
          <w:trHeight w:val="2438" w:hRule="atLeast"/>
          <w:jc w:val="center"/>
        </w:trPr>
        <w:tc>
          <w:tcPr>
            <w:tcW w:w="7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kern w:val="0"/>
                <w:sz w:val="22"/>
                <w:szCs w:val="22"/>
              </w:rPr>
              <w:t>综合保障（15分）</w:t>
            </w:r>
          </w:p>
        </w:tc>
        <w:tc>
          <w:tcPr>
            <w:tcW w:w="78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kern w:val="0"/>
                <w:sz w:val="22"/>
                <w:szCs w:val="22"/>
              </w:rPr>
              <w:t>组织机制保障（7分）</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36</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加强组织建设，完善网络市场监管与服务机构保障。（3分）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1.建立网络交易监管部门联席会议机制并有效运行；（1分）</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2.成立示范区创建工作领导机构并运行有效；（1分）</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3.网络交易监管队伍健全。（1分）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eastAsia="zh-CN"/>
              </w:rPr>
              <w:t>万荣县</w:t>
            </w:r>
            <w:r>
              <w:rPr>
                <w:rFonts w:hint="eastAsia" w:asciiTheme="minorEastAsia" w:hAnsiTheme="minorEastAsia" w:eastAsiaTheme="minorEastAsia" w:cstheme="minorEastAsia"/>
                <w:color w:val="auto"/>
                <w:kern w:val="0"/>
                <w:sz w:val="22"/>
                <w:szCs w:val="22"/>
              </w:rPr>
              <w:t>网络市场监管局际联席会议各成员单位、</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农业农村局、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教育局、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交通局、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住建局</w:t>
            </w:r>
            <w:r>
              <w:rPr>
                <w:rFonts w:hint="eastAsia" w:asciiTheme="minorEastAsia" w:hAnsiTheme="minorEastAsia" w:eastAsiaTheme="minorEastAsia" w:cstheme="minorEastAsia"/>
                <w:color w:val="auto"/>
                <w:kern w:val="0"/>
                <w:sz w:val="22"/>
                <w:szCs w:val="22"/>
                <w:lang w:eastAsia="zh-CN"/>
              </w:rPr>
              <w:t>，各乡[镇]人民政府</w:t>
            </w:r>
          </w:p>
        </w:tc>
      </w:tr>
      <w:tr>
        <w:tblPrEx>
          <w:tblCellMar>
            <w:top w:w="0" w:type="dxa"/>
            <w:left w:w="108" w:type="dxa"/>
            <w:bottom w:w="0" w:type="dxa"/>
            <w:right w:w="108" w:type="dxa"/>
          </w:tblCellMar>
        </w:tblPrEx>
        <w:trPr>
          <w:trHeight w:val="2608" w:hRule="atLeast"/>
          <w:jc w:val="center"/>
        </w:trPr>
        <w:tc>
          <w:tcPr>
            <w:tcW w:w="740" w:type="dxa"/>
            <w:vMerge w:val="continue"/>
            <w:tcBorders>
              <w:left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78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37</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建立工作机制，有力有序推进网络市场监管与服务工作。（2分）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1.建立健全网络市场监管与服务相关工作机制；（1分）</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2.建立健全网络市场监管与服务相关工作实施方案，明确工作目标、主要任务、工作举措、责任单位、进度安排等内容，并按要求进行考评。（1分）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各成员单位</w:t>
            </w:r>
          </w:p>
        </w:tc>
      </w:tr>
      <w:tr>
        <w:tblPrEx>
          <w:tblCellMar>
            <w:top w:w="0" w:type="dxa"/>
            <w:left w:w="108" w:type="dxa"/>
            <w:bottom w:w="0" w:type="dxa"/>
            <w:right w:w="108" w:type="dxa"/>
          </w:tblCellMar>
        </w:tblPrEx>
        <w:trPr>
          <w:trHeight w:val="2438" w:hRule="atLeast"/>
          <w:jc w:val="center"/>
        </w:trPr>
        <w:tc>
          <w:tcPr>
            <w:tcW w:w="7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工作基础保障（8分）</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38</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定量+定性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加强队伍建设和人才培训，建立高素质专业化网络市场监管与服务队伍。（2分）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1.加大网络市场监管与服务专业力量建设，提高队伍专业化水平；（1分）</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2.加强人才培训，网络交易监管人员业务培训覆盖率达到100%，每人每年培训时间不低于50学时。（1分）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1.国家网络交易监管平台；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2.创建对象提供。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eastAsia="zh-CN"/>
              </w:rPr>
              <w:t>万荣县</w:t>
            </w:r>
            <w:r>
              <w:rPr>
                <w:rFonts w:hint="eastAsia" w:asciiTheme="minorEastAsia" w:hAnsiTheme="minorEastAsia" w:eastAsiaTheme="minorEastAsia" w:cstheme="minorEastAsia"/>
                <w:color w:val="auto"/>
                <w:kern w:val="0"/>
                <w:sz w:val="22"/>
                <w:szCs w:val="22"/>
              </w:rPr>
              <w:t>网络市场监管局际联席会议各成员单位、</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农业农村局、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教育局、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交通局、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住建局、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人社局</w:t>
            </w:r>
          </w:p>
        </w:tc>
      </w:tr>
      <w:tr>
        <w:tblPrEx>
          <w:tblCellMar>
            <w:top w:w="0" w:type="dxa"/>
            <w:left w:w="108" w:type="dxa"/>
            <w:bottom w:w="0" w:type="dxa"/>
            <w:right w:w="108" w:type="dxa"/>
          </w:tblCellMar>
        </w:tblPrEx>
        <w:trPr>
          <w:trHeight w:val="2159" w:hRule="exact"/>
          <w:jc w:val="center"/>
        </w:trPr>
        <w:tc>
          <w:tcPr>
            <w:tcW w:w="74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kern w:val="0"/>
                <w:sz w:val="22"/>
                <w:szCs w:val="22"/>
              </w:rPr>
              <w:t>综合保障（15分）</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工作基础保障（8分）</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39</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加大投入，完善网络市场监管与服务财政和物资保障。（2分）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1.加大财政投入，网络市场监管与服务经费列入本级预算；（1分）</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2.强化网络市场监管与服务专业设备、设施配备，提供物资保障。（1分）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rPr>
              <w:t>万荣县</w:t>
            </w:r>
            <w:r>
              <w:rPr>
                <w:rFonts w:hint="eastAsia" w:asciiTheme="minorEastAsia" w:hAnsiTheme="minorEastAsia" w:eastAsiaTheme="minorEastAsia" w:cstheme="minorEastAsia"/>
                <w:color w:val="auto"/>
                <w:kern w:val="0"/>
                <w:sz w:val="22"/>
                <w:szCs w:val="22"/>
              </w:rPr>
              <w:t>网络市场监管局际联席会议各成员单位、</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lang w:eastAsia="zh-CN"/>
              </w:rPr>
              <w:t>财政局、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农业农村局、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教育局、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交通局、</w:t>
            </w:r>
            <w:r>
              <w:rPr>
                <w:rFonts w:hint="eastAsia" w:asciiTheme="minorEastAsia" w:hAnsiTheme="minorEastAsia" w:eastAsiaTheme="minorEastAsia" w:cstheme="minorEastAsia"/>
                <w:color w:val="auto"/>
                <w:kern w:val="0"/>
                <w:sz w:val="22"/>
                <w:szCs w:val="22"/>
                <w:lang w:val="en-US" w:eastAsia="zh-CN"/>
              </w:rPr>
              <w:t>县</w:t>
            </w:r>
            <w:r>
              <w:rPr>
                <w:rFonts w:hint="eastAsia" w:asciiTheme="minorEastAsia" w:hAnsiTheme="minorEastAsia" w:eastAsiaTheme="minorEastAsia" w:cstheme="minorEastAsia"/>
                <w:color w:val="auto"/>
                <w:kern w:val="0"/>
                <w:sz w:val="22"/>
                <w:szCs w:val="22"/>
              </w:rPr>
              <w:t>住建局</w:t>
            </w:r>
            <w:r>
              <w:rPr>
                <w:rFonts w:hint="eastAsia" w:asciiTheme="minorEastAsia" w:hAnsiTheme="minorEastAsia" w:eastAsiaTheme="minorEastAsia" w:cstheme="minorEastAsia"/>
                <w:color w:val="auto"/>
                <w:kern w:val="0"/>
                <w:sz w:val="22"/>
                <w:szCs w:val="22"/>
                <w:lang w:eastAsia="zh-CN"/>
              </w:rPr>
              <w:t>，各乡（镇）人民政府</w:t>
            </w:r>
          </w:p>
        </w:tc>
      </w:tr>
      <w:tr>
        <w:tblPrEx>
          <w:tblCellMar>
            <w:top w:w="0" w:type="dxa"/>
            <w:left w:w="108" w:type="dxa"/>
            <w:bottom w:w="0" w:type="dxa"/>
            <w:right w:w="108" w:type="dxa"/>
          </w:tblCellMar>
        </w:tblPrEx>
        <w:trPr>
          <w:trHeight w:val="2379" w:hRule="exact"/>
          <w:jc w:val="center"/>
        </w:trPr>
        <w:tc>
          <w:tcPr>
            <w:tcW w:w="740" w:type="dxa"/>
            <w:vMerge w:val="continue"/>
            <w:tcBorders>
              <w:left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40</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强化信息基础支撑，完善网络市场监管与服务信息化保障。（2分）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1.充分运用国家网络交易监管平台等国家或者省级政府已建成的信息化系统开展网络市场监管与服务工作；（1分）</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2.建立健全符合地方实际的网络市场监管与服务信息化保障工作机制，并运行良好。（1分）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各成员单位</w:t>
            </w:r>
          </w:p>
        </w:tc>
      </w:tr>
      <w:tr>
        <w:tblPrEx>
          <w:tblCellMar>
            <w:top w:w="0" w:type="dxa"/>
            <w:left w:w="108" w:type="dxa"/>
            <w:bottom w:w="0" w:type="dxa"/>
            <w:right w:w="108" w:type="dxa"/>
          </w:tblCellMar>
        </w:tblPrEx>
        <w:trPr>
          <w:trHeight w:val="2169" w:hRule="atLeast"/>
          <w:jc w:val="center"/>
        </w:trPr>
        <w:tc>
          <w:tcPr>
            <w:tcW w:w="74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color w:val="auto"/>
                <w:sz w:val="22"/>
                <w:szCs w:val="22"/>
              </w:rPr>
            </w:pP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41</w:t>
            </w:r>
          </w:p>
        </w:tc>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定性</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强化普法、宣传，营造良好社会氛围。</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（2分）</w:t>
            </w:r>
          </w:p>
        </w:tc>
        <w:tc>
          <w:tcPr>
            <w:tcW w:w="4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1.多形式多举措开展网络市场监管与服务普法活动；（1分）</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kern w:val="0"/>
                <w:sz w:val="22"/>
                <w:szCs w:val="22"/>
              </w:rPr>
              <w:t>2.多形式多举措宣传报道网络市场监管与服务工作举措、工作成果、典型经验。（1分）</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方式：资料审查、专家评估。</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kern w:val="0"/>
                <w:sz w:val="22"/>
                <w:szCs w:val="22"/>
              </w:rPr>
            </w:pPr>
            <w:r>
              <w:rPr>
                <w:rFonts w:hint="eastAsia" w:asciiTheme="minorEastAsia" w:hAnsiTheme="minorEastAsia" w:eastAsiaTheme="minorEastAsia" w:cstheme="minorEastAsia"/>
                <w:color w:val="auto"/>
                <w:spacing w:val="0"/>
                <w:kern w:val="0"/>
                <w:sz w:val="22"/>
                <w:szCs w:val="22"/>
              </w:rPr>
              <w:t>数据或资料来源：</w:t>
            </w:r>
          </w:p>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auto"/>
                <w:spacing w:val="0"/>
                <w:sz w:val="22"/>
                <w:szCs w:val="22"/>
              </w:rPr>
            </w:pPr>
            <w:r>
              <w:rPr>
                <w:rFonts w:hint="eastAsia" w:asciiTheme="minorEastAsia" w:hAnsiTheme="minorEastAsia" w:eastAsiaTheme="minorEastAsia" w:cstheme="minorEastAsia"/>
                <w:color w:val="auto"/>
                <w:spacing w:val="0"/>
                <w:kern w:val="0"/>
                <w:sz w:val="22"/>
                <w:szCs w:val="22"/>
              </w:rPr>
              <w:t>创建对象提供。</w:t>
            </w:r>
          </w:p>
        </w:tc>
        <w:tc>
          <w:tcPr>
            <w:tcW w:w="2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各成员单位</w:t>
            </w:r>
          </w:p>
        </w:tc>
      </w:tr>
      <w:tr>
        <w:tblPrEx>
          <w:tblCellMar>
            <w:top w:w="0" w:type="dxa"/>
            <w:left w:w="108" w:type="dxa"/>
            <w:bottom w:w="0" w:type="dxa"/>
            <w:right w:w="108" w:type="dxa"/>
          </w:tblCellMar>
        </w:tblPrEx>
        <w:trPr>
          <w:trHeight w:val="557" w:hRule="atLeast"/>
          <w:jc w:val="center"/>
        </w:trPr>
        <w:tc>
          <w:tcPr>
            <w:tcW w:w="10824" w:type="dxa"/>
            <w:gridSpan w:val="7"/>
            <w:tcBorders>
              <w:top w:val="single" w:color="auto" w:sz="4" w:space="0"/>
              <w:left w:val="nil"/>
              <w:bottom w:val="nil"/>
              <w:right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ascii="仿宋_GB2312" w:hAnsi="宋体" w:eastAsia="仿宋_GB2312" w:cs="仿宋_GB2312"/>
                <w:color w:val="auto"/>
                <w:sz w:val="22"/>
                <w:szCs w:val="22"/>
              </w:rPr>
            </w:pPr>
            <w:r>
              <w:rPr>
                <w:rFonts w:hint="eastAsia" w:ascii="仿宋_GB2312" w:hAnsi="宋体" w:eastAsia="仿宋_GB2312" w:cs="仿宋_GB2312"/>
                <w:color w:val="auto"/>
                <w:kern w:val="0"/>
                <w:sz w:val="28"/>
                <w:szCs w:val="28"/>
              </w:rPr>
              <w:t>本评估指标体系合格标准为：总分≧85分，且每个一级指标得分率≧75%。</w:t>
            </w:r>
          </w:p>
        </w:tc>
        <w:tc>
          <w:tcPr>
            <w:tcW w:w="2952" w:type="dxa"/>
            <w:tcBorders>
              <w:top w:val="single" w:color="auto" w:sz="4" w:space="0"/>
              <w:left w:val="nil"/>
              <w:bottom w:val="nil"/>
              <w:right w:val="nil"/>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left"/>
              <w:textAlignment w:val="center"/>
              <w:rPr>
                <w:rFonts w:ascii="仿宋_GB2312" w:hAnsi="宋体" w:eastAsia="仿宋_GB2312" w:cs="仿宋_GB2312"/>
                <w:color w:val="auto"/>
                <w:kern w:val="0"/>
                <w:sz w:val="28"/>
                <w:szCs w:val="28"/>
              </w:rPr>
            </w:pPr>
          </w:p>
        </w:tc>
      </w:tr>
      <w:bookmarkEnd w:id="0"/>
    </w:tbl>
    <w:p>
      <w:pPr>
        <w:pStyle w:val="3"/>
        <w:shd w:val="clear"/>
        <w:ind w:left="0" w:leftChars="0" w:firstLine="0" w:firstLineChars="0"/>
        <w:rPr>
          <w:color w:val="auto"/>
        </w:rPr>
      </w:pPr>
    </w:p>
    <w:p>
      <w:pPr>
        <w:pStyle w:val="3"/>
        <w:rPr>
          <w:rFonts w:hint="eastAsia" w:eastAsia="宋体"/>
          <w:color w:val="auto"/>
          <w:lang w:val="en-US" w:eastAsia="zh-CN"/>
        </w:rPr>
        <w:sectPr>
          <w:footerReference r:id="rId3" w:type="default"/>
          <w:pgSz w:w="16838" w:h="11906" w:orient="landscape"/>
          <w:pgMar w:top="1871" w:right="1531" w:bottom="1701" w:left="1531" w:header="851" w:footer="1417" w:gutter="0"/>
          <w:pgNumType w:fmt="decimal"/>
          <w:cols w:space="0" w:num="1"/>
          <w:rtlGutter w:val="0"/>
          <w:docGrid w:type="lines" w:linePitch="323" w:charSpace="0"/>
        </w:sect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pStyle w:val="3"/>
        <w:rPr>
          <w:rFonts w:hint="eastAsia" w:eastAsia="宋体"/>
          <w:color w:val="auto"/>
          <w:lang w:val="en-US" w:eastAsia="zh-CN"/>
        </w:rPr>
      </w:pPr>
    </w:p>
    <w:p>
      <w:pPr>
        <w:keepNext w:val="0"/>
        <w:keepLines w:val="0"/>
        <w:pageBreakBefore w:val="0"/>
        <w:widowControl w:val="0"/>
        <w:kinsoku/>
        <w:wordWrap/>
        <w:overflowPunct/>
        <w:topLinePunct w:val="0"/>
        <w:autoSpaceDE/>
        <w:autoSpaceDN/>
        <w:bidi w:val="0"/>
        <w:adjustRightInd/>
        <w:snapToGrid/>
        <w:spacing w:line="650" w:lineRule="exact"/>
        <w:ind w:left="0" w:leftChars="0" w:firstLine="0" w:firstLineChars="0"/>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50" w:lineRule="exact"/>
        <w:ind w:left="0" w:leftChars="0" w:firstLine="0" w:firstLineChars="0"/>
        <w:jc w:val="both"/>
        <w:textAlignment w:val="auto"/>
        <w:rPr>
          <w:rFonts w:hint="eastAsia" w:ascii="Times New Roman" w:hAnsi="Times New Roman" w:cs="Times New Roman"/>
          <w:sz w:val="28"/>
          <w:szCs w:val="28"/>
          <w:lang w:val="en-US" w:eastAsia="zh-CN"/>
        </w:rPr>
      </w:pPr>
      <w:r>
        <w:rPr>
          <w:rFonts w:hint="default" w:ascii="Times New Roman" w:hAnsi="Times New Roman" w:cs="Times New Roman"/>
          <w:sz w:val="28"/>
          <w:szCs w:val="28"/>
        </w:rPr>
        <mc:AlternateContent>
          <mc:Choice Requires="wpg">
            <w:drawing>
              <wp:anchor distT="0" distB="0" distL="114300" distR="114300" simplePos="0" relativeHeight="251659264" behindDoc="0" locked="0" layoutInCell="1" allowOverlap="1">
                <wp:simplePos x="0" y="0"/>
                <wp:positionH relativeFrom="column">
                  <wp:posOffset>-73660</wp:posOffset>
                </wp:positionH>
                <wp:positionV relativeFrom="paragraph">
                  <wp:posOffset>82550</wp:posOffset>
                </wp:positionV>
                <wp:extent cx="5795645" cy="337185"/>
                <wp:effectExtent l="0" t="4445" r="14605" b="20320"/>
                <wp:wrapNone/>
                <wp:docPr id="17" name="组合 17"/>
                <wp:cNvGraphicFramePr/>
                <a:graphic xmlns:a="http://schemas.openxmlformats.org/drawingml/2006/main">
                  <a:graphicData uri="http://schemas.microsoft.com/office/word/2010/wordprocessingGroup">
                    <wpg:wgp>
                      <wpg:cNvGrpSpPr/>
                      <wpg:grpSpPr>
                        <a:xfrm>
                          <a:off x="0" y="0"/>
                          <a:ext cx="5795645" cy="337185"/>
                          <a:chOff x="3259" y="99839"/>
                          <a:chExt cx="9030" cy="531"/>
                        </a:xfrm>
                      </wpg:grpSpPr>
                      <wps:wsp>
                        <wps:cNvPr id="7" name="直接连接符 7"/>
                        <wps:cNvCnPr/>
                        <wps:spPr>
                          <a:xfrm>
                            <a:off x="3259" y="99839"/>
                            <a:ext cx="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接连接符 8"/>
                        <wps:cNvCnPr/>
                        <wps:spPr>
                          <a:xfrm>
                            <a:off x="3289" y="100370"/>
                            <a:ext cx="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5.8pt;margin-top:6.5pt;height:26.55pt;width:456.35pt;z-index:251659264;mso-width-relative:page;mso-height-relative:page;" coordorigin="3259,99839" coordsize="9030,531" o:gfxdata="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qg7T3dgAAAAJAQAADwAAAAAAAAABACAA&#10;AAAiAAAAZHJzL2Rvd25yZXYueG1sUEsBAhQAFAAAAAgAh07iQKfc6Nx/AgAAvwYAAA4AAAAAAAAA&#10;AQAgAAAAJwEAAGRycy9lMm9Eb2MueG1sUEsFBgAAAAAGAAYAWQEAABgGAAAAAA==&#10;">
                <o:lock v:ext="edit" aspectratio="f"/>
                <v:line id="_x0000_s1026" o:spid="_x0000_s1026" o:spt="20" style="position:absolute;left:3259;top:99839;height:0;width:9000;" filled="f" stroked="t" coordsize="21600,21600" o:gfxdata="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RLhe8AAAA&#10;2g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line id="_x0000_s1026" o:spid="_x0000_s1026" o:spt="20" style="position:absolute;left:3289;top:100370;height:0;width:9000;" filled="f" stroked="t" coordsize="21600,21600" o:gfxdata="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OumW8AAAA&#10;2g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group>
            </w:pict>
          </mc:Fallback>
        </mc:AlternateContent>
      </w:r>
      <w:r>
        <w:rPr>
          <w:rFonts w:hint="default" w:ascii="Times New Roman" w:hAnsi="Times New Roman" w:eastAsia="仿宋" w:cs="Times New Roman"/>
          <w:spacing w:val="0"/>
          <w:sz w:val="28"/>
          <w:szCs w:val="28"/>
          <w:lang w:val="en-US" w:eastAsia="zh-CN"/>
        </w:rPr>
        <w:t xml:space="preserve">万荣县人民政府办公室                   </w:t>
      </w:r>
      <w:r>
        <w:rPr>
          <w:rFonts w:hint="eastAsia" w:ascii="Times New Roman" w:hAnsi="Times New Roman" w:eastAsia="仿宋" w:cs="Times New Roman"/>
          <w:spacing w:val="0"/>
          <w:sz w:val="28"/>
          <w:szCs w:val="28"/>
          <w:lang w:val="en-US" w:eastAsia="zh-CN"/>
        </w:rPr>
        <w:t xml:space="preserve">  </w:t>
      </w:r>
      <w:r>
        <w:rPr>
          <w:rFonts w:hint="default" w:ascii="Times New Roman" w:hAnsi="Times New Roman" w:eastAsia="仿宋" w:cs="Times New Roman"/>
          <w:spacing w:val="0"/>
          <w:sz w:val="28"/>
          <w:szCs w:val="28"/>
          <w:lang w:val="en-US" w:eastAsia="zh-CN"/>
        </w:rPr>
        <w:t xml:space="preserve">   2023年3月</w:t>
      </w:r>
      <w:r>
        <w:rPr>
          <w:rFonts w:hint="eastAsia" w:ascii="Times New Roman" w:hAnsi="Times New Roman" w:eastAsia="仿宋" w:cs="Times New Roman"/>
          <w:spacing w:val="0"/>
          <w:sz w:val="28"/>
          <w:szCs w:val="28"/>
          <w:lang w:val="en-US" w:eastAsia="zh-CN"/>
        </w:rPr>
        <w:t>29</w:t>
      </w:r>
      <w:r>
        <w:rPr>
          <w:rFonts w:hint="default" w:ascii="Times New Roman" w:hAnsi="Times New Roman" w:eastAsia="仿宋" w:cs="Times New Roman"/>
          <w:spacing w:val="0"/>
          <w:sz w:val="28"/>
          <w:szCs w:val="28"/>
          <w:lang w:val="en-US" w:eastAsia="zh-CN"/>
        </w:rPr>
        <w:t>日印发</w:t>
      </w:r>
    </w:p>
    <w:sectPr>
      <w:footerReference r:id="rId4" w:type="default"/>
      <w:pgSz w:w="11906" w:h="16838"/>
      <w:pgMar w:top="1871" w:right="1531" w:bottom="1701" w:left="1531" w:header="851" w:footer="1417" w:gutter="0"/>
      <w:pgNumType w:fmt="decimal" w:start="24"/>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汉仪粗仿宋简">
    <w:altName w:val="仿宋"/>
    <w:panose1 w:val="02010600000101010101"/>
    <w:charset w:val="86"/>
    <w:family w:val="auto"/>
    <w:pitch w:val="default"/>
    <w:sig w:usb0="00000000" w:usb1="00000000" w:usb2="00000002"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OGFkYmNmY2I0MjQ4NWMzZTk3OGJlODEwNWQ4NjgifQ=="/>
  </w:docVars>
  <w:rsids>
    <w:rsidRoot w:val="72F635C0"/>
    <w:rsid w:val="00303F39"/>
    <w:rsid w:val="008A2738"/>
    <w:rsid w:val="00AB6E51"/>
    <w:rsid w:val="00D7295F"/>
    <w:rsid w:val="00EA40E8"/>
    <w:rsid w:val="01194904"/>
    <w:rsid w:val="018B0E6F"/>
    <w:rsid w:val="01D31020"/>
    <w:rsid w:val="01F4204B"/>
    <w:rsid w:val="02216EB5"/>
    <w:rsid w:val="02864DAC"/>
    <w:rsid w:val="02CC04AF"/>
    <w:rsid w:val="030F6088"/>
    <w:rsid w:val="03337F28"/>
    <w:rsid w:val="042839DF"/>
    <w:rsid w:val="042D7C0E"/>
    <w:rsid w:val="04B6197A"/>
    <w:rsid w:val="04FB2EED"/>
    <w:rsid w:val="05E90DDE"/>
    <w:rsid w:val="06514C09"/>
    <w:rsid w:val="069F3BC7"/>
    <w:rsid w:val="06C13B3D"/>
    <w:rsid w:val="06C820B5"/>
    <w:rsid w:val="078A03D3"/>
    <w:rsid w:val="080F6B2A"/>
    <w:rsid w:val="081B54CF"/>
    <w:rsid w:val="085C0ED5"/>
    <w:rsid w:val="0898267C"/>
    <w:rsid w:val="08B2267B"/>
    <w:rsid w:val="08E93565"/>
    <w:rsid w:val="08FF094D"/>
    <w:rsid w:val="093A3733"/>
    <w:rsid w:val="09AA4D5C"/>
    <w:rsid w:val="0A1E71A6"/>
    <w:rsid w:val="0A92134D"/>
    <w:rsid w:val="0AFB3396"/>
    <w:rsid w:val="0B9F3D21"/>
    <w:rsid w:val="0BAA2247"/>
    <w:rsid w:val="0C41302A"/>
    <w:rsid w:val="0C525237"/>
    <w:rsid w:val="0C526FE5"/>
    <w:rsid w:val="0C5A41A7"/>
    <w:rsid w:val="0C7C6260"/>
    <w:rsid w:val="0E2A021A"/>
    <w:rsid w:val="0E564A46"/>
    <w:rsid w:val="0E593927"/>
    <w:rsid w:val="0E9C76DE"/>
    <w:rsid w:val="0ECB4562"/>
    <w:rsid w:val="0ED33CE8"/>
    <w:rsid w:val="0F1B4006"/>
    <w:rsid w:val="0F227143"/>
    <w:rsid w:val="0F3B24E7"/>
    <w:rsid w:val="0F7F45C1"/>
    <w:rsid w:val="0FB139B7"/>
    <w:rsid w:val="0FD14C82"/>
    <w:rsid w:val="101A606C"/>
    <w:rsid w:val="10437371"/>
    <w:rsid w:val="10C04E65"/>
    <w:rsid w:val="10D426BF"/>
    <w:rsid w:val="10FE773C"/>
    <w:rsid w:val="11162CD7"/>
    <w:rsid w:val="11220530"/>
    <w:rsid w:val="112C6057"/>
    <w:rsid w:val="1138473E"/>
    <w:rsid w:val="11496C09"/>
    <w:rsid w:val="11534B75"/>
    <w:rsid w:val="117E3478"/>
    <w:rsid w:val="11AE4CBE"/>
    <w:rsid w:val="11B0086C"/>
    <w:rsid w:val="11E153AA"/>
    <w:rsid w:val="124E024F"/>
    <w:rsid w:val="127001C5"/>
    <w:rsid w:val="12B46304"/>
    <w:rsid w:val="13912AE9"/>
    <w:rsid w:val="13B769DD"/>
    <w:rsid w:val="13D62572"/>
    <w:rsid w:val="13DA04C9"/>
    <w:rsid w:val="13F11893"/>
    <w:rsid w:val="149C6421"/>
    <w:rsid w:val="14C027EC"/>
    <w:rsid w:val="14C669FA"/>
    <w:rsid w:val="14EF7AC7"/>
    <w:rsid w:val="150C68CB"/>
    <w:rsid w:val="15AC59B8"/>
    <w:rsid w:val="15FD64AA"/>
    <w:rsid w:val="17265757"/>
    <w:rsid w:val="17354B6A"/>
    <w:rsid w:val="173619DD"/>
    <w:rsid w:val="178712C8"/>
    <w:rsid w:val="17BB0135"/>
    <w:rsid w:val="17C4348D"/>
    <w:rsid w:val="17F80170"/>
    <w:rsid w:val="18167A61"/>
    <w:rsid w:val="183879D7"/>
    <w:rsid w:val="183D4FEE"/>
    <w:rsid w:val="18495740"/>
    <w:rsid w:val="184B14B9"/>
    <w:rsid w:val="185760AF"/>
    <w:rsid w:val="18910E95"/>
    <w:rsid w:val="191C4ED7"/>
    <w:rsid w:val="192B12EA"/>
    <w:rsid w:val="192F1CEE"/>
    <w:rsid w:val="1962557A"/>
    <w:rsid w:val="19DD34D0"/>
    <w:rsid w:val="1A04317B"/>
    <w:rsid w:val="1A0F2F69"/>
    <w:rsid w:val="1A5B3D5B"/>
    <w:rsid w:val="1A62247C"/>
    <w:rsid w:val="1A952EBF"/>
    <w:rsid w:val="1A9C424D"/>
    <w:rsid w:val="1B527002"/>
    <w:rsid w:val="1B9B2757"/>
    <w:rsid w:val="1BEB0073"/>
    <w:rsid w:val="1BEC0F03"/>
    <w:rsid w:val="1C237506"/>
    <w:rsid w:val="1C4945AA"/>
    <w:rsid w:val="1C6E062E"/>
    <w:rsid w:val="1CA90EA4"/>
    <w:rsid w:val="1D547061"/>
    <w:rsid w:val="1E432C32"/>
    <w:rsid w:val="1E601A36"/>
    <w:rsid w:val="1E876FC3"/>
    <w:rsid w:val="1E90200F"/>
    <w:rsid w:val="1EAA2CB1"/>
    <w:rsid w:val="1EAF02C7"/>
    <w:rsid w:val="1ECD498E"/>
    <w:rsid w:val="1EFF2FFD"/>
    <w:rsid w:val="1F8E011B"/>
    <w:rsid w:val="1FA76A82"/>
    <w:rsid w:val="1FB77434"/>
    <w:rsid w:val="203D1194"/>
    <w:rsid w:val="208912C1"/>
    <w:rsid w:val="20EF154A"/>
    <w:rsid w:val="21B55BF5"/>
    <w:rsid w:val="22155C1A"/>
    <w:rsid w:val="221D4119"/>
    <w:rsid w:val="23795C6E"/>
    <w:rsid w:val="24774E4F"/>
    <w:rsid w:val="247C0C4C"/>
    <w:rsid w:val="24A00DDE"/>
    <w:rsid w:val="24BC54EC"/>
    <w:rsid w:val="25583467"/>
    <w:rsid w:val="256B319A"/>
    <w:rsid w:val="25BD151C"/>
    <w:rsid w:val="26597D94"/>
    <w:rsid w:val="2697382D"/>
    <w:rsid w:val="26D134D1"/>
    <w:rsid w:val="27361B37"/>
    <w:rsid w:val="27523777"/>
    <w:rsid w:val="283B245D"/>
    <w:rsid w:val="28AD5878"/>
    <w:rsid w:val="28D71E56"/>
    <w:rsid w:val="291E6775"/>
    <w:rsid w:val="2973086F"/>
    <w:rsid w:val="29B61260"/>
    <w:rsid w:val="2A5F2BA2"/>
    <w:rsid w:val="2ACB46DB"/>
    <w:rsid w:val="2AEBE90A"/>
    <w:rsid w:val="2B963EB9"/>
    <w:rsid w:val="2B996587"/>
    <w:rsid w:val="2BB84077"/>
    <w:rsid w:val="2BC70369"/>
    <w:rsid w:val="2BE617CC"/>
    <w:rsid w:val="2BFE62E3"/>
    <w:rsid w:val="2C016A47"/>
    <w:rsid w:val="2C666177"/>
    <w:rsid w:val="2CAE57EF"/>
    <w:rsid w:val="2CC90004"/>
    <w:rsid w:val="2CE73597"/>
    <w:rsid w:val="2D1E05C1"/>
    <w:rsid w:val="2D5C0C70"/>
    <w:rsid w:val="2D8C09C2"/>
    <w:rsid w:val="2DFA155F"/>
    <w:rsid w:val="2E1D6FFC"/>
    <w:rsid w:val="2E61338C"/>
    <w:rsid w:val="2EE31FF3"/>
    <w:rsid w:val="2F3D3B1D"/>
    <w:rsid w:val="2F40216C"/>
    <w:rsid w:val="2F634EE2"/>
    <w:rsid w:val="2F6E3118"/>
    <w:rsid w:val="2F856001"/>
    <w:rsid w:val="2F866E22"/>
    <w:rsid w:val="2FB7F946"/>
    <w:rsid w:val="2FE53B49"/>
    <w:rsid w:val="2FE86794"/>
    <w:rsid w:val="3059019D"/>
    <w:rsid w:val="31B1017E"/>
    <w:rsid w:val="31EF0CAF"/>
    <w:rsid w:val="31F369F1"/>
    <w:rsid w:val="327A59FF"/>
    <w:rsid w:val="32B115A9"/>
    <w:rsid w:val="331C3D26"/>
    <w:rsid w:val="33533269"/>
    <w:rsid w:val="335A2AA0"/>
    <w:rsid w:val="34DD5737"/>
    <w:rsid w:val="34E0563C"/>
    <w:rsid w:val="34E55C2B"/>
    <w:rsid w:val="35D271A0"/>
    <w:rsid w:val="366A4DA8"/>
    <w:rsid w:val="367128E9"/>
    <w:rsid w:val="367C4B0F"/>
    <w:rsid w:val="368566DE"/>
    <w:rsid w:val="369116D0"/>
    <w:rsid w:val="36EA022D"/>
    <w:rsid w:val="37353553"/>
    <w:rsid w:val="37C52BDE"/>
    <w:rsid w:val="37CB6AB5"/>
    <w:rsid w:val="37FA5BE6"/>
    <w:rsid w:val="38367638"/>
    <w:rsid w:val="384358B1"/>
    <w:rsid w:val="38CC7F9C"/>
    <w:rsid w:val="38DE6193"/>
    <w:rsid w:val="390B65C9"/>
    <w:rsid w:val="39D843AA"/>
    <w:rsid w:val="3A2540F2"/>
    <w:rsid w:val="3A8723CC"/>
    <w:rsid w:val="3B7F43AD"/>
    <w:rsid w:val="3C1732DC"/>
    <w:rsid w:val="3C9615C9"/>
    <w:rsid w:val="3CAA05F4"/>
    <w:rsid w:val="3CD73146"/>
    <w:rsid w:val="3CE358B4"/>
    <w:rsid w:val="3D0534D2"/>
    <w:rsid w:val="3D7D3613"/>
    <w:rsid w:val="3DBA4867"/>
    <w:rsid w:val="3EB43064"/>
    <w:rsid w:val="3ECC55B5"/>
    <w:rsid w:val="3F755459"/>
    <w:rsid w:val="3F8E15BB"/>
    <w:rsid w:val="3FBD23EC"/>
    <w:rsid w:val="3FEF584B"/>
    <w:rsid w:val="40273D0A"/>
    <w:rsid w:val="40A35A86"/>
    <w:rsid w:val="40EF4A1C"/>
    <w:rsid w:val="418F1B67"/>
    <w:rsid w:val="41F63994"/>
    <w:rsid w:val="421E72F9"/>
    <w:rsid w:val="423170C2"/>
    <w:rsid w:val="429338D8"/>
    <w:rsid w:val="430D5F32"/>
    <w:rsid w:val="430F7403"/>
    <w:rsid w:val="43C73BDB"/>
    <w:rsid w:val="440F6F8F"/>
    <w:rsid w:val="44613C8E"/>
    <w:rsid w:val="456F2434"/>
    <w:rsid w:val="45AE4881"/>
    <w:rsid w:val="45E306D3"/>
    <w:rsid w:val="46380A1F"/>
    <w:rsid w:val="46BF51B8"/>
    <w:rsid w:val="46F74436"/>
    <w:rsid w:val="4732546E"/>
    <w:rsid w:val="47824F29"/>
    <w:rsid w:val="487A3570"/>
    <w:rsid w:val="48847F4B"/>
    <w:rsid w:val="48B17A39"/>
    <w:rsid w:val="48CC544E"/>
    <w:rsid w:val="491868E5"/>
    <w:rsid w:val="491F1D83"/>
    <w:rsid w:val="492E6109"/>
    <w:rsid w:val="49E54986"/>
    <w:rsid w:val="4A191ED4"/>
    <w:rsid w:val="4AD056CA"/>
    <w:rsid w:val="4ADB5E1D"/>
    <w:rsid w:val="4B111A14"/>
    <w:rsid w:val="4B7A5635"/>
    <w:rsid w:val="4BD53541"/>
    <w:rsid w:val="4C06207A"/>
    <w:rsid w:val="4C0B6E6F"/>
    <w:rsid w:val="4C131773"/>
    <w:rsid w:val="4C6B4F7E"/>
    <w:rsid w:val="4C6F4E5F"/>
    <w:rsid w:val="4D0A5610"/>
    <w:rsid w:val="4D470D2F"/>
    <w:rsid w:val="4DC50327"/>
    <w:rsid w:val="4DD23507"/>
    <w:rsid w:val="4E9F654C"/>
    <w:rsid w:val="4F230624"/>
    <w:rsid w:val="4FE4304A"/>
    <w:rsid w:val="501716A5"/>
    <w:rsid w:val="50923421"/>
    <w:rsid w:val="50D50417"/>
    <w:rsid w:val="513454B5"/>
    <w:rsid w:val="51791EEB"/>
    <w:rsid w:val="519F7BA4"/>
    <w:rsid w:val="52EC506B"/>
    <w:rsid w:val="531A3A95"/>
    <w:rsid w:val="53695B54"/>
    <w:rsid w:val="53F51CFD"/>
    <w:rsid w:val="545509EE"/>
    <w:rsid w:val="545F361A"/>
    <w:rsid w:val="546B360C"/>
    <w:rsid w:val="54966580"/>
    <w:rsid w:val="552C446C"/>
    <w:rsid w:val="55B654BC"/>
    <w:rsid w:val="55CC4CE0"/>
    <w:rsid w:val="55CF47D0"/>
    <w:rsid w:val="55E62F6F"/>
    <w:rsid w:val="55F12DC9"/>
    <w:rsid w:val="561D553B"/>
    <w:rsid w:val="56250894"/>
    <w:rsid w:val="56A91225"/>
    <w:rsid w:val="56B91708"/>
    <w:rsid w:val="56FF8D00"/>
    <w:rsid w:val="57266671"/>
    <w:rsid w:val="57E50AB9"/>
    <w:rsid w:val="58070251"/>
    <w:rsid w:val="58533496"/>
    <w:rsid w:val="586937D5"/>
    <w:rsid w:val="586A79B6"/>
    <w:rsid w:val="59196F49"/>
    <w:rsid w:val="59271254"/>
    <w:rsid w:val="595C281E"/>
    <w:rsid w:val="59BE8248"/>
    <w:rsid w:val="5A494B51"/>
    <w:rsid w:val="5AD85ED5"/>
    <w:rsid w:val="5AE8436A"/>
    <w:rsid w:val="5B0F09CB"/>
    <w:rsid w:val="5B2353A2"/>
    <w:rsid w:val="5B345801"/>
    <w:rsid w:val="5BA12364"/>
    <w:rsid w:val="5C270EC2"/>
    <w:rsid w:val="5C5F50E3"/>
    <w:rsid w:val="5C8C63FC"/>
    <w:rsid w:val="5D4B5084"/>
    <w:rsid w:val="5DCF7A63"/>
    <w:rsid w:val="5E7A79CF"/>
    <w:rsid w:val="5ECB1D7D"/>
    <w:rsid w:val="5F8623A3"/>
    <w:rsid w:val="601654D5"/>
    <w:rsid w:val="602F47E9"/>
    <w:rsid w:val="60C2740B"/>
    <w:rsid w:val="60FF240D"/>
    <w:rsid w:val="619A3DBD"/>
    <w:rsid w:val="61C16673"/>
    <w:rsid w:val="61D4070A"/>
    <w:rsid w:val="62126170"/>
    <w:rsid w:val="62D96729"/>
    <w:rsid w:val="638B442C"/>
    <w:rsid w:val="63934CDB"/>
    <w:rsid w:val="65A12A8B"/>
    <w:rsid w:val="65A96DEB"/>
    <w:rsid w:val="663A5C95"/>
    <w:rsid w:val="66612CC3"/>
    <w:rsid w:val="666B22F3"/>
    <w:rsid w:val="66E005EB"/>
    <w:rsid w:val="67902011"/>
    <w:rsid w:val="67AA29A7"/>
    <w:rsid w:val="67EB5499"/>
    <w:rsid w:val="68AF12B9"/>
    <w:rsid w:val="68AF4719"/>
    <w:rsid w:val="68F9389A"/>
    <w:rsid w:val="690B72A0"/>
    <w:rsid w:val="693E78C8"/>
    <w:rsid w:val="697725EE"/>
    <w:rsid w:val="69862A07"/>
    <w:rsid w:val="698F62F8"/>
    <w:rsid w:val="69CB780F"/>
    <w:rsid w:val="69E20B1E"/>
    <w:rsid w:val="69FF28C7"/>
    <w:rsid w:val="6A276531"/>
    <w:rsid w:val="6A8A71EB"/>
    <w:rsid w:val="6B143E6D"/>
    <w:rsid w:val="6B3E3B32"/>
    <w:rsid w:val="6BA92D4B"/>
    <w:rsid w:val="6BB9765C"/>
    <w:rsid w:val="6BE7B88E"/>
    <w:rsid w:val="6CC0638F"/>
    <w:rsid w:val="6D4D2752"/>
    <w:rsid w:val="6D4F0278"/>
    <w:rsid w:val="6E4F53B0"/>
    <w:rsid w:val="6E7C68E8"/>
    <w:rsid w:val="6EAB5982"/>
    <w:rsid w:val="6F6E140E"/>
    <w:rsid w:val="6FB60DC4"/>
    <w:rsid w:val="6FBB7E47"/>
    <w:rsid w:val="6FCF744E"/>
    <w:rsid w:val="7004359C"/>
    <w:rsid w:val="70131A31"/>
    <w:rsid w:val="703F6AE8"/>
    <w:rsid w:val="70617B54"/>
    <w:rsid w:val="70785174"/>
    <w:rsid w:val="708B3C5F"/>
    <w:rsid w:val="708E10B8"/>
    <w:rsid w:val="70D2369A"/>
    <w:rsid w:val="70ED2282"/>
    <w:rsid w:val="714D4ACF"/>
    <w:rsid w:val="718F158B"/>
    <w:rsid w:val="71A75C26"/>
    <w:rsid w:val="71A843FB"/>
    <w:rsid w:val="71B67232"/>
    <w:rsid w:val="71CA25C3"/>
    <w:rsid w:val="71CF5E91"/>
    <w:rsid w:val="71D23226"/>
    <w:rsid w:val="720F6228"/>
    <w:rsid w:val="722E17EC"/>
    <w:rsid w:val="72A46970"/>
    <w:rsid w:val="72B72F1F"/>
    <w:rsid w:val="72F635C0"/>
    <w:rsid w:val="72F84FAC"/>
    <w:rsid w:val="73726A6F"/>
    <w:rsid w:val="73A47923"/>
    <w:rsid w:val="740643A1"/>
    <w:rsid w:val="741555D7"/>
    <w:rsid w:val="743860D7"/>
    <w:rsid w:val="749D5A9B"/>
    <w:rsid w:val="74B85EF3"/>
    <w:rsid w:val="74E53270"/>
    <w:rsid w:val="74F040EF"/>
    <w:rsid w:val="750E0A19"/>
    <w:rsid w:val="75250343"/>
    <w:rsid w:val="75630D65"/>
    <w:rsid w:val="75B56260"/>
    <w:rsid w:val="76962A74"/>
    <w:rsid w:val="76BB072D"/>
    <w:rsid w:val="777F5BFE"/>
    <w:rsid w:val="77A2369A"/>
    <w:rsid w:val="77B3A1E2"/>
    <w:rsid w:val="77F572E5"/>
    <w:rsid w:val="77FB69AE"/>
    <w:rsid w:val="77FE33CA"/>
    <w:rsid w:val="784B19A6"/>
    <w:rsid w:val="78A469C0"/>
    <w:rsid w:val="78B33DB1"/>
    <w:rsid w:val="79091C23"/>
    <w:rsid w:val="794978BF"/>
    <w:rsid w:val="796E35ED"/>
    <w:rsid w:val="7A715CD2"/>
    <w:rsid w:val="7ABB519F"/>
    <w:rsid w:val="7ABFA76B"/>
    <w:rsid w:val="7AD33DF5"/>
    <w:rsid w:val="7AFF15FB"/>
    <w:rsid w:val="7B811F45"/>
    <w:rsid w:val="7BFF2E69"/>
    <w:rsid w:val="7C556F2D"/>
    <w:rsid w:val="7C5C02BC"/>
    <w:rsid w:val="7D9D6DDE"/>
    <w:rsid w:val="7DA55C93"/>
    <w:rsid w:val="7DBB4823"/>
    <w:rsid w:val="7DEB5D9B"/>
    <w:rsid w:val="7DFA3729"/>
    <w:rsid w:val="7E066731"/>
    <w:rsid w:val="7E337A76"/>
    <w:rsid w:val="7E7774B5"/>
    <w:rsid w:val="7E79DBCC"/>
    <w:rsid w:val="7E837D82"/>
    <w:rsid w:val="7E867872"/>
    <w:rsid w:val="7E910C6A"/>
    <w:rsid w:val="7EC00FD6"/>
    <w:rsid w:val="7F1A37E8"/>
    <w:rsid w:val="7F210F90"/>
    <w:rsid w:val="7F211349"/>
    <w:rsid w:val="7F2E37E6"/>
    <w:rsid w:val="7F6F47AA"/>
    <w:rsid w:val="7F7AC51C"/>
    <w:rsid w:val="7FBD5EC9"/>
    <w:rsid w:val="7FDA4E8C"/>
    <w:rsid w:val="7FEA3CFE"/>
    <w:rsid w:val="7FEE584C"/>
    <w:rsid w:val="7FFD5EE9"/>
    <w:rsid w:val="7FFF8A2B"/>
    <w:rsid w:val="97E7E929"/>
    <w:rsid w:val="A69D1ED0"/>
    <w:rsid w:val="A7BFE9CC"/>
    <w:rsid w:val="AE7F574F"/>
    <w:rsid w:val="AEA7F332"/>
    <w:rsid w:val="B7FF391C"/>
    <w:rsid w:val="BFBF1DD6"/>
    <w:rsid w:val="BFF3FD8A"/>
    <w:rsid w:val="CA7FFBCD"/>
    <w:rsid w:val="CFBFB659"/>
    <w:rsid w:val="D7FD658B"/>
    <w:rsid w:val="DF360A9F"/>
    <w:rsid w:val="DFD8147A"/>
    <w:rsid w:val="DFE19BE4"/>
    <w:rsid w:val="E0F7C010"/>
    <w:rsid w:val="E8EE8BB0"/>
    <w:rsid w:val="ECED6E35"/>
    <w:rsid w:val="EDF718E9"/>
    <w:rsid w:val="EF2AA4D9"/>
    <w:rsid w:val="EF5FC671"/>
    <w:rsid w:val="EFFFDEC2"/>
    <w:rsid w:val="F17B27F4"/>
    <w:rsid w:val="F637A620"/>
    <w:rsid w:val="F69DC11E"/>
    <w:rsid w:val="F6FBEECA"/>
    <w:rsid w:val="F75FD86F"/>
    <w:rsid w:val="F7E58BB9"/>
    <w:rsid w:val="F9FDEC8C"/>
    <w:rsid w:val="FABBF0C0"/>
    <w:rsid w:val="FBEE326C"/>
    <w:rsid w:val="FD734C09"/>
    <w:rsid w:val="FEF65044"/>
    <w:rsid w:val="FF3ECE6F"/>
    <w:rsid w:val="FF5BAB10"/>
    <w:rsid w:val="FF77F6F1"/>
    <w:rsid w:val="FF9F6215"/>
    <w:rsid w:val="FFDD68C0"/>
    <w:rsid w:val="FFFF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5"/>
    <w:basedOn w:val="1"/>
    <w:next w:val="1"/>
    <w:qFormat/>
    <w:uiPriority w:val="0"/>
    <w:pPr>
      <w:keepNext/>
      <w:keepLines/>
      <w:spacing w:before="280" w:after="290" w:line="376" w:lineRule="auto"/>
      <w:outlineLvl w:val="4"/>
    </w:pPr>
    <w:rPr>
      <w:rFonts w:ascii="Times New Roman" w:hAnsi="Times New Roman"/>
      <w:b/>
      <w:bCs/>
      <w:sz w:val="28"/>
      <w:szCs w:val="2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paragraph" w:customStyle="1" w:styleId="9">
    <w:name w:val="List Paragraph"/>
    <w:basedOn w:val="1"/>
    <w:unhideWhenUsed/>
    <w:qFormat/>
    <w:uiPriority w:val="99"/>
    <w:pPr>
      <w:ind w:firstLine="420" w:firstLineChars="200"/>
    </w:pPr>
  </w:style>
  <w:style w:type="character" w:customStyle="1" w:styleId="10">
    <w:name w:val="font61"/>
    <w:qFormat/>
    <w:uiPriority w:val="0"/>
    <w:rPr>
      <w:rFonts w:hint="eastAsia" w:ascii="仿宋_GB2312" w:eastAsia="仿宋_GB2312" w:cs="仿宋_GB2312"/>
      <w:color w:val="000000"/>
      <w:sz w:val="22"/>
      <w:szCs w:val="22"/>
      <w:u w:val="none"/>
    </w:rPr>
  </w:style>
  <w:style w:type="paragraph" w:customStyle="1" w:styleId="11">
    <w:name w:val="Normal_d2321cb6-c903-4b42-a21b-e019ab2e2518"/>
    <w:qFormat/>
    <w:uiPriority w:val="0"/>
    <w:rPr>
      <w:rFonts w:ascii="Times New Roman" w:hAnsi="Times New Roman" w:eastAsia="Times New Roman" w:cs="Times New Roman"/>
      <w:sz w:val="24"/>
      <w:szCs w:val="24"/>
      <w:lang w:val="en-US" w:eastAsia="uk-UA"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11767</Words>
  <Characters>12060</Characters>
  <Lines>9</Lines>
  <Paragraphs>28</Paragraphs>
  <TotalTime>7</TotalTime>
  <ScaleCrop>false</ScaleCrop>
  <LinksUpToDate>false</LinksUpToDate>
  <CharactersWithSpaces>12085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2022-06-14T02:12:00Z</dcterms:created>
  <dc:creator>　</dc:creator>
  <cp:lastModifiedBy>中中</cp:lastModifiedBy>
  <cp:lastPrinted>2023-04-11T01:54:00Z</cp:lastPrinted>
  <dcterms:modified xsi:type="dcterms:W3CDTF">2023-06-06T03:20:59Z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209D125C5DFC4511B8DD6AE5B395CE73_13</vt:lpwstr>
  </property>
</Properties>
</file>